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center" w:tblpY="-1140"/>
        <w:tblW w:w="11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5868"/>
        <w:gridCol w:w="5868"/>
      </w:tblGrid>
      <w:tr w:rsidR="009976CA" w:rsidRPr="00B21B58" w:rsidTr="009976CA">
        <w:tc>
          <w:tcPr>
            <w:tcW w:w="5868" w:type="dxa"/>
            <w:tcBorders>
              <w:top w:val="single" w:sz="4" w:space="0" w:color="auto"/>
              <w:left w:val="single" w:sz="4" w:space="0" w:color="auto"/>
              <w:bottom w:val="single" w:sz="4" w:space="0" w:color="auto"/>
              <w:right w:val="single" w:sz="4" w:space="0" w:color="auto"/>
            </w:tcBorders>
            <w:hideMark/>
          </w:tcPr>
          <w:p w:rsidR="009976CA" w:rsidRPr="00B21B58" w:rsidRDefault="00002FCA" w:rsidP="009976CA">
            <w:pPr>
              <w:rPr>
                <w:b/>
                <w:color w:val="000000"/>
              </w:rPr>
            </w:pPr>
            <w:r w:rsidRPr="00B21B58">
              <w:rPr>
                <w:b/>
                <w:color w:val="000000"/>
              </w:rPr>
              <w:t xml:space="preserve">Class/Subject: World History </w:t>
            </w:r>
          </w:p>
        </w:tc>
        <w:tc>
          <w:tcPr>
            <w:tcW w:w="5868" w:type="dxa"/>
            <w:tcBorders>
              <w:top w:val="single" w:sz="4" w:space="0" w:color="auto"/>
              <w:left w:val="single" w:sz="4" w:space="0" w:color="auto"/>
              <w:bottom w:val="single" w:sz="4" w:space="0" w:color="auto"/>
              <w:right w:val="single" w:sz="4" w:space="0" w:color="auto"/>
            </w:tcBorders>
            <w:hideMark/>
          </w:tcPr>
          <w:p w:rsidR="009976CA" w:rsidRPr="00B21B58" w:rsidRDefault="003C2410" w:rsidP="009976CA">
            <w:pPr>
              <w:rPr>
                <w:b/>
                <w:color w:val="000000"/>
              </w:rPr>
            </w:pPr>
            <w:r>
              <w:rPr>
                <w:b/>
                <w:color w:val="000000"/>
              </w:rPr>
              <w:t>Day 8</w:t>
            </w:r>
            <w:r w:rsidR="00DD4DA7" w:rsidRPr="00B21B58">
              <w:rPr>
                <w:b/>
                <w:color w:val="000000"/>
              </w:rPr>
              <w:t xml:space="preserve">5: European Mercantilism </w:t>
            </w:r>
          </w:p>
        </w:tc>
      </w:tr>
      <w:tr w:rsidR="009976CA" w:rsidRPr="00B21B58" w:rsidTr="009976CA">
        <w:tc>
          <w:tcPr>
            <w:tcW w:w="5868" w:type="dxa"/>
            <w:tcBorders>
              <w:top w:val="single" w:sz="4" w:space="0" w:color="auto"/>
              <w:left w:val="nil"/>
              <w:bottom w:val="single" w:sz="4" w:space="0" w:color="auto"/>
              <w:right w:val="single" w:sz="4" w:space="0" w:color="auto"/>
            </w:tcBorders>
          </w:tcPr>
          <w:p w:rsidR="009976CA" w:rsidRPr="00B21B58" w:rsidRDefault="009976CA" w:rsidP="009976CA">
            <w:pPr>
              <w:jc w:val="center"/>
              <w:rPr>
                <w:color w:val="000000"/>
              </w:rPr>
            </w:pPr>
          </w:p>
        </w:tc>
        <w:tc>
          <w:tcPr>
            <w:tcW w:w="5868" w:type="dxa"/>
            <w:tcBorders>
              <w:top w:val="single" w:sz="4" w:space="0" w:color="auto"/>
              <w:left w:val="single" w:sz="4" w:space="0" w:color="auto"/>
              <w:bottom w:val="single" w:sz="4" w:space="0" w:color="auto"/>
              <w:right w:val="single" w:sz="4" w:space="0" w:color="auto"/>
            </w:tcBorders>
            <w:hideMark/>
          </w:tcPr>
          <w:p w:rsidR="009976CA" w:rsidRPr="00B21B58" w:rsidRDefault="009976CA" w:rsidP="009976CA">
            <w:pPr>
              <w:rPr>
                <w:b/>
                <w:color w:val="000000"/>
              </w:rPr>
            </w:pPr>
          </w:p>
        </w:tc>
      </w:tr>
      <w:tr w:rsidR="009976CA" w:rsidRPr="00B21B58" w:rsidTr="009976CA">
        <w:tc>
          <w:tcPr>
            <w:tcW w:w="5868" w:type="dxa"/>
            <w:tcBorders>
              <w:top w:val="single" w:sz="4" w:space="0" w:color="auto"/>
              <w:left w:val="single" w:sz="4" w:space="0" w:color="auto"/>
              <w:bottom w:val="single" w:sz="4" w:space="0" w:color="auto"/>
              <w:right w:val="single" w:sz="4" w:space="0" w:color="auto"/>
            </w:tcBorders>
            <w:hideMark/>
          </w:tcPr>
          <w:p w:rsidR="009976CA" w:rsidRPr="00B21B58" w:rsidRDefault="009976CA" w:rsidP="009976CA">
            <w:pPr>
              <w:rPr>
                <w:b/>
                <w:color w:val="000000"/>
              </w:rPr>
            </w:pPr>
            <w:r w:rsidRPr="00B21B58">
              <w:rPr>
                <w:b/>
                <w:color w:val="000000"/>
              </w:rPr>
              <w:t>Objective(s)</w:t>
            </w:r>
          </w:p>
          <w:p w:rsidR="009976CA" w:rsidRPr="00B21B58" w:rsidRDefault="009976CA" w:rsidP="009976CA">
            <w:pPr>
              <w:rPr>
                <w:color w:val="000000"/>
              </w:rPr>
            </w:pPr>
            <w:r w:rsidRPr="00B21B58">
              <w:rPr>
                <w:b/>
                <w:color w:val="000000"/>
              </w:rPr>
              <w:t>SWBAT…</w:t>
            </w:r>
            <w:r w:rsidR="00DD4DA7" w:rsidRPr="00B21B58">
              <w:rPr>
                <w:b/>
                <w:color w:val="000000"/>
              </w:rPr>
              <w:t>Apply mercantile philosophies and actions through two different scales. SWBAT attach economic philosophy to historical outcomes of the 15</w:t>
            </w:r>
            <w:r w:rsidR="00DD4DA7" w:rsidRPr="00B21B58">
              <w:rPr>
                <w:b/>
                <w:color w:val="000000"/>
                <w:vertAlign w:val="superscript"/>
              </w:rPr>
              <w:t>th</w:t>
            </w:r>
            <w:r w:rsidR="00DD4DA7" w:rsidRPr="00B21B58">
              <w:rPr>
                <w:b/>
                <w:color w:val="000000"/>
              </w:rPr>
              <w:t>-18</w:t>
            </w:r>
            <w:r w:rsidR="00DD4DA7" w:rsidRPr="00B21B58">
              <w:rPr>
                <w:b/>
                <w:color w:val="000000"/>
                <w:vertAlign w:val="superscript"/>
              </w:rPr>
              <w:t>th</w:t>
            </w:r>
            <w:r w:rsidR="00DD4DA7" w:rsidRPr="00B21B58">
              <w:rPr>
                <w:b/>
                <w:color w:val="000000"/>
              </w:rPr>
              <w:t xml:space="preserve"> centuries. </w:t>
            </w:r>
          </w:p>
        </w:tc>
        <w:tc>
          <w:tcPr>
            <w:tcW w:w="5868" w:type="dxa"/>
            <w:tcBorders>
              <w:top w:val="single" w:sz="4" w:space="0" w:color="auto"/>
              <w:left w:val="single" w:sz="4" w:space="0" w:color="auto"/>
              <w:bottom w:val="single" w:sz="4" w:space="0" w:color="auto"/>
              <w:right w:val="single" w:sz="4" w:space="0" w:color="auto"/>
            </w:tcBorders>
          </w:tcPr>
          <w:p w:rsidR="009976CA" w:rsidRPr="00B21B58" w:rsidRDefault="006B3DB6" w:rsidP="009976CA">
            <w:pPr>
              <w:rPr>
                <w:b/>
                <w:color w:val="000000"/>
              </w:rPr>
            </w:pPr>
            <w:r>
              <w:rPr>
                <w:b/>
                <w:color w:val="000000"/>
              </w:rPr>
              <w:t>HS</w:t>
            </w:r>
            <w:r w:rsidR="009976CA" w:rsidRPr="00B21B58">
              <w:rPr>
                <w:b/>
                <w:color w:val="000000"/>
              </w:rPr>
              <w:t>CE/CCS</w:t>
            </w:r>
          </w:p>
          <w:p w:rsidR="009976CA" w:rsidRPr="00B21B58" w:rsidRDefault="009976CA" w:rsidP="00B21B58">
            <w:pPr>
              <w:autoSpaceDE w:val="0"/>
              <w:autoSpaceDN w:val="0"/>
              <w:adjustRightInd w:val="0"/>
              <w:ind w:left="1440" w:hanging="1440"/>
              <w:rPr>
                <w:color w:val="000000"/>
              </w:rPr>
            </w:pPr>
            <w:r w:rsidRPr="00B21B58">
              <w:rPr>
                <w:b/>
                <w:color w:val="000000"/>
              </w:rPr>
              <w:t xml:space="preserve">Topic </w:t>
            </w:r>
            <w:r w:rsidR="00B21B58" w:rsidRPr="00B21B58">
              <w:rPr>
                <w:b/>
                <w:color w:val="000000"/>
              </w:rPr>
              <w:t xml:space="preserve">5.3.5 </w:t>
            </w:r>
            <w:r w:rsidR="00B21B58" w:rsidRPr="00B21B58">
              <w:rPr>
                <w:color w:val="000000"/>
              </w:rPr>
              <w:t xml:space="preserve">Europe through the 18th Century – </w:t>
            </w:r>
            <w:r w:rsidR="00B21B58" w:rsidRPr="00B21B58">
              <w:rPr>
                <w:color w:val="000000"/>
                <w:sz w:val="18"/>
                <w:szCs w:val="18"/>
              </w:rPr>
              <w:t>Analyze the major political, religious, cultural and economic transformations in Europe by • explaining the origins, growth, and consequences of European overseas expansion, including the development and impact of maritime power in Asia and land control in the Americas (See 5.2.1) (National Geography Standard 13, p. 210) • analyzing transformations in Europe’s state structure, including the rising military, bureaucratic, and nationalist power of European states including absolutism • analyzing how the Renaissance, Reformation, Scientific Revolution, and the Enlightenment contributed to transformations in European society • analyzing the transformation of the European economies including mercantilism, capitalism, and wage labor (See 5.2.2)</w:t>
            </w:r>
          </w:p>
        </w:tc>
      </w:tr>
      <w:tr w:rsidR="009976CA" w:rsidRPr="00B21B58" w:rsidTr="009976CA">
        <w:tc>
          <w:tcPr>
            <w:tcW w:w="5868" w:type="dxa"/>
            <w:tcBorders>
              <w:top w:val="single" w:sz="4" w:space="0" w:color="auto"/>
              <w:left w:val="nil"/>
              <w:bottom w:val="single" w:sz="4" w:space="0" w:color="auto"/>
              <w:right w:val="nil"/>
            </w:tcBorders>
          </w:tcPr>
          <w:p w:rsidR="009976CA" w:rsidRPr="00B21B58" w:rsidRDefault="009976CA" w:rsidP="009976CA">
            <w:pPr>
              <w:jc w:val="center"/>
              <w:rPr>
                <w:color w:val="000000"/>
              </w:rPr>
            </w:pPr>
          </w:p>
        </w:tc>
        <w:tc>
          <w:tcPr>
            <w:tcW w:w="5868" w:type="dxa"/>
            <w:tcBorders>
              <w:top w:val="single" w:sz="4" w:space="0" w:color="auto"/>
              <w:left w:val="nil"/>
              <w:bottom w:val="single" w:sz="4" w:space="0" w:color="auto"/>
              <w:right w:val="nil"/>
            </w:tcBorders>
          </w:tcPr>
          <w:p w:rsidR="009976CA" w:rsidRPr="00B21B58" w:rsidRDefault="009976CA" w:rsidP="009976CA">
            <w:pPr>
              <w:jc w:val="center"/>
              <w:rPr>
                <w:color w:val="000000"/>
              </w:rPr>
            </w:pPr>
          </w:p>
        </w:tc>
      </w:tr>
      <w:tr w:rsidR="009976CA" w:rsidRPr="00B21B58" w:rsidTr="009976CA">
        <w:tc>
          <w:tcPr>
            <w:tcW w:w="5868" w:type="dxa"/>
            <w:tcBorders>
              <w:top w:val="single" w:sz="4" w:space="0" w:color="auto"/>
              <w:left w:val="single" w:sz="4" w:space="0" w:color="auto"/>
              <w:bottom w:val="single" w:sz="4" w:space="0" w:color="auto"/>
              <w:right w:val="single" w:sz="4" w:space="0" w:color="auto"/>
            </w:tcBorders>
            <w:hideMark/>
          </w:tcPr>
          <w:p w:rsidR="009976CA" w:rsidRPr="00B21B58" w:rsidRDefault="009976CA" w:rsidP="009976CA">
            <w:pPr>
              <w:rPr>
                <w:b/>
                <w:color w:val="000000"/>
              </w:rPr>
            </w:pPr>
            <w:r w:rsidRPr="00B21B58">
              <w:rPr>
                <w:b/>
                <w:color w:val="000000"/>
              </w:rPr>
              <w:t xml:space="preserve">Materials: </w:t>
            </w:r>
          </w:p>
          <w:p w:rsidR="009976CA" w:rsidRPr="00B21B58" w:rsidRDefault="009976CA" w:rsidP="009976CA">
            <w:pPr>
              <w:rPr>
                <w:b/>
                <w:color w:val="000000"/>
              </w:rPr>
            </w:pPr>
          </w:p>
          <w:p w:rsidR="009976CA" w:rsidRPr="00B21B58" w:rsidRDefault="00B21B58" w:rsidP="009976CA">
            <w:pPr>
              <w:pStyle w:val="ListParagraph"/>
              <w:numPr>
                <w:ilvl w:val="0"/>
                <w:numId w:val="2"/>
              </w:numPr>
              <w:rPr>
                <w:b/>
                <w:color w:val="000000"/>
              </w:rPr>
            </w:pPr>
            <w:r w:rsidRPr="00B21B58">
              <w:rPr>
                <w:b/>
                <w:color w:val="000000"/>
              </w:rPr>
              <w:t>Map of the School</w:t>
            </w:r>
          </w:p>
          <w:p w:rsidR="00B21B58" w:rsidRPr="00B21B58" w:rsidRDefault="00B21B58" w:rsidP="009976CA">
            <w:pPr>
              <w:pStyle w:val="ListParagraph"/>
              <w:numPr>
                <w:ilvl w:val="0"/>
                <w:numId w:val="2"/>
              </w:numPr>
              <w:rPr>
                <w:b/>
                <w:color w:val="000000"/>
              </w:rPr>
            </w:pPr>
            <w:r w:rsidRPr="00B21B58">
              <w:rPr>
                <w:b/>
                <w:color w:val="000000"/>
              </w:rPr>
              <w:t xml:space="preserve">Map of Commodities being exchanged throughout the world </w:t>
            </w:r>
          </w:p>
          <w:p w:rsidR="00B21B58" w:rsidRPr="00B21B58" w:rsidRDefault="00B21B58" w:rsidP="009976CA">
            <w:pPr>
              <w:pStyle w:val="ListParagraph"/>
              <w:numPr>
                <w:ilvl w:val="0"/>
                <w:numId w:val="2"/>
              </w:numPr>
              <w:rPr>
                <w:b/>
                <w:color w:val="000000"/>
              </w:rPr>
            </w:pPr>
            <w:r>
              <w:rPr>
                <w:b/>
                <w:color w:val="000000"/>
              </w:rPr>
              <w:t xml:space="preserve">Paper for notes </w:t>
            </w:r>
          </w:p>
        </w:tc>
        <w:tc>
          <w:tcPr>
            <w:tcW w:w="5868" w:type="dxa"/>
            <w:tcBorders>
              <w:top w:val="single" w:sz="4" w:space="0" w:color="auto"/>
              <w:left w:val="single" w:sz="4" w:space="0" w:color="auto"/>
              <w:bottom w:val="single" w:sz="4" w:space="0" w:color="auto"/>
              <w:right w:val="single" w:sz="4" w:space="0" w:color="auto"/>
            </w:tcBorders>
          </w:tcPr>
          <w:p w:rsidR="009976CA" w:rsidRPr="00B21B58" w:rsidRDefault="009976CA" w:rsidP="009976CA">
            <w:pPr>
              <w:rPr>
                <w:b/>
                <w:color w:val="000000"/>
              </w:rPr>
            </w:pPr>
            <w:r w:rsidRPr="00B21B58">
              <w:rPr>
                <w:b/>
                <w:color w:val="000000"/>
              </w:rPr>
              <w:t xml:space="preserve">Procedure/Activities: </w:t>
            </w:r>
          </w:p>
          <w:p w:rsidR="009976CA" w:rsidRDefault="009976CA" w:rsidP="009976CA">
            <w:pPr>
              <w:pStyle w:val="ListParagraph"/>
              <w:numPr>
                <w:ilvl w:val="0"/>
                <w:numId w:val="2"/>
              </w:numPr>
              <w:rPr>
                <w:b/>
                <w:color w:val="000000"/>
                <w:sz w:val="18"/>
                <w:szCs w:val="18"/>
              </w:rPr>
            </w:pPr>
            <w:r w:rsidRPr="00B21B58">
              <w:rPr>
                <w:b/>
                <w:color w:val="000000"/>
                <w:sz w:val="18"/>
                <w:szCs w:val="18"/>
              </w:rPr>
              <w:t>News/This Day in History</w:t>
            </w:r>
          </w:p>
          <w:p w:rsidR="00B21B58" w:rsidRPr="001952C6" w:rsidRDefault="00B21B58" w:rsidP="0079579B">
            <w:pPr>
              <w:pStyle w:val="ListParagraph"/>
              <w:numPr>
                <w:ilvl w:val="0"/>
                <w:numId w:val="2"/>
              </w:numPr>
              <w:rPr>
                <w:b/>
                <w:color w:val="000000"/>
                <w:sz w:val="18"/>
                <w:szCs w:val="18"/>
              </w:rPr>
            </w:pPr>
            <w:r w:rsidRPr="001952C6">
              <w:rPr>
                <w:b/>
                <w:color w:val="000000"/>
                <w:sz w:val="18"/>
                <w:szCs w:val="18"/>
              </w:rPr>
              <w:t>Give students a map of the sch</w:t>
            </w:r>
            <w:r w:rsidR="001952C6">
              <w:rPr>
                <w:b/>
                <w:color w:val="000000"/>
                <w:sz w:val="18"/>
                <w:szCs w:val="18"/>
              </w:rPr>
              <w:t xml:space="preserve">ool. With $1000 in capital have them choose a commodity and a placement. </w:t>
            </w:r>
            <w:r w:rsidRPr="001952C6">
              <w:rPr>
                <w:b/>
                <w:color w:val="000000"/>
                <w:sz w:val="18"/>
                <w:szCs w:val="18"/>
              </w:rPr>
              <w:t xml:space="preserve">Share thoughts with classmates </w:t>
            </w:r>
            <w:bookmarkStart w:id="0" w:name="_GoBack"/>
            <w:bookmarkEnd w:id="0"/>
          </w:p>
          <w:p w:rsidR="00B21B58" w:rsidRDefault="00B21B58" w:rsidP="009976CA">
            <w:pPr>
              <w:pStyle w:val="ListParagraph"/>
              <w:numPr>
                <w:ilvl w:val="0"/>
                <w:numId w:val="2"/>
              </w:numPr>
              <w:rPr>
                <w:b/>
                <w:color w:val="000000"/>
                <w:sz w:val="18"/>
                <w:szCs w:val="18"/>
              </w:rPr>
            </w:pPr>
            <w:r>
              <w:rPr>
                <w:b/>
                <w:color w:val="000000"/>
                <w:sz w:val="18"/>
                <w:szCs w:val="18"/>
              </w:rPr>
              <w:t>Then give students commodity sheets and have them do the same thing globally</w:t>
            </w:r>
          </w:p>
          <w:p w:rsidR="00B21B58" w:rsidRDefault="00B21B58" w:rsidP="009976CA">
            <w:pPr>
              <w:pStyle w:val="ListParagraph"/>
              <w:numPr>
                <w:ilvl w:val="0"/>
                <w:numId w:val="2"/>
              </w:numPr>
              <w:rPr>
                <w:b/>
                <w:color w:val="000000"/>
                <w:sz w:val="18"/>
                <w:szCs w:val="18"/>
              </w:rPr>
            </w:pPr>
            <w:r>
              <w:rPr>
                <w:b/>
                <w:color w:val="000000"/>
                <w:sz w:val="18"/>
                <w:szCs w:val="18"/>
              </w:rPr>
              <w:t xml:space="preserve">Discuss any common themes? </w:t>
            </w:r>
          </w:p>
          <w:p w:rsidR="00B21B58" w:rsidRDefault="00B21B58" w:rsidP="009976CA">
            <w:pPr>
              <w:pStyle w:val="ListParagraph"/>
              <w:numPr>
                <w:ilvl w:val="0"/>
                <w:numId w:val="2"/>
              </w:numPr>
              <w:rPr>
                <w:b/>
                <w:color w:val="000000"/>
                <w:sz w:val="18"/>
                <w:szCs w:val="18"/>
              </w:rPr>
            </w:pPr>
            <w:r>
              <w:rPr>
                <w:b/>
                <w:color w:val="000000"/>
                <w:sz w:val="18"/>
                <w:szCs w:val="18"/>
              </w:rPr>
              <w:t xml:space="preserve">Reading on Mercantilism </w:t>
            </w:r>
          </w:p>
          <w:p w:rsidR="00B21B58" w:rsidRPr="00B21B58" w:rsidRDefault="00B21B58" w:rsidP="009976CA">
            <w:pPr>
              <w:pStyle w:val="ListParagraph"/>
              <w:numPr>
                <w:ilvl w:val="0"/>
                <w:numId w:val="2"/>
              </w:numPr>
              <w:rPr>
                <w:b/>
                <w:color w:val="000000"/>
                <w:sz w:val="18"/>
                <w:szCs w:val="18"/>
              </w:rPr>
            </w:pPr>
            <w:r>
              <w:rPr>
                <w:b/>
                <w:color w:val="000000"/>
                <w:sz w:val="18"/>
                <w:szCs w:val="18"/>
              </w:rPr>
              <w:t xml:space="preserve">Summation lecture </w:t>
            </w:r>
          </w:p>
          <w:p w:rsidR="009976CA" w:rsidRPr="00B21B58" w:rsidRDefault="009976CA" w:rsidP="00B21B58">
            <w:pPr>
              <w:pStyle w:val="ListParagraph"/>
              <w:ind w:left="1800"/>
              <w:rPr>
                <w:b/>
                <w:color w:val="000000"/>
              </w:rPr>
            </w:pPr>
          </w:p>
        </w:tc>
      </w:tr>
      <w:tr w:rsidR="009976CA" w:rsidRPr="00B21B58" w:rsidTr="009976CA">
        <w:tc>
          <w:tcPr>
            <w:tcW w:w="5868" w:type="dxa"/>
            <w:tcBorders>
              <w:top w:val="single" w:sz="4" w:space="0" w:color="auto"/>
              <w:left w:val="nil"/>
              <w:bottom w:val="single" w:sz="4" w:space="0" w:color="auto"/>
              <w:right w:val="nil"/>
            </w:tcBorders>
          </w:tcPr>
          <w:p w:rsidR="009976CA" w:rsidRPr="00B21B58" w:rsidRDefault="009976CA" w:rsidP="009976CA">
            <w:pPr>
              <w:jc w:val="center"/>
            </w:pPr>
          </w:p>
        </w:tc>
        <w:tc>
          <w:tcPr>
            <w:tcW w:w="5868" w:type="dxa"/>
            <w:tcBorders>
              <w:top w:val="single" w:sz="4" w:space="0" w:color="auto"/>
              <w:left w:val="nil"/>
              <w:bottom w:val="single" w:sz="4" w:space="0" w:color="auto"/>
              <w:right w:val="nil"/>
            </w:tcBorders>
          </w:tcPr>
          <w:p w:rsidR="009976CA" w:rsidRPr="00B21B58" w:rsidRDefault="009976CA" w:rsidP="009976CA">
            <w:pPr>
              <w:jc w:val="center"/>
            </w:pPr>
          </w:p>
        </w:tc>
      </w:tr>
      <w:tr w:rsidR="009976CA" w:rsidRPr="00B21B58" w:rsidTr="009976CA">
        <w:tc>
          <w:tcPr>
            <w:tcW w:w="11736" w:type="dxa"/>
            <w:gridSpan w:val="2"/>
            <w:tcBorders>
              <w:top w:val="single" w:sz="4" w:space="0" w:color="auto"/>
              <w:left w:val="single" w:sz="4" w:space="0" w:color="auto"/>
              <w:bottom w:val="nil"/>
              <w:right w:val="single" w:sz="4" w:space="0" w:color="auto"/>
            </w:tcBorders>
            <w:hideMark/>
          </w:tcPr>
          <w:p w:rsidR="009976CA" w:rsidRPr="00B21B58" w:rsidRDefault="009976CA" w:rsidP="009976CA">
            <w:pPr>
              <w:jc w:val="center"/>
              <w:rPr>
                <w:b/>
                <w:sz w:val="16"/>
                <w:szCs w:val="16"/>
              </w:rPr>
            </w:pPr>
            <w:r w:rsidRPr="00B21B58">
              <w:rPr>
                <w:b/>
                <w:u w:val="single"/>
              </w:rPr>
              <w:t>Strategies</w:t>
            </w:r>
            <w:r w:rsidRPr="00B21B58">
              <w:rPr>
                <w:b/>
                <w:sz w:val="16"/>
                <w:szCs w:val="16"/>
                <w:u w:val="single"/>
              </w:rPr>
              <w:t xml:space="preserve"> (check all that apply)</w:t>
            </w:r>
          </w:p>
        </w:tc>
      </w:tr>
      <w:tr w:rsidR="009976CA" w:rsidRPr="00B21B58" w:rsidTr="009976CA">
        <w:tc>
          <w:tcPr>
            <w:tcW w:w="5868" w:type="dxa"/>
            <w:tcBorders>
              <w:top w:val="nil"/>
              <w:left w:val="single" w:sz="4" w:space="0" w:color="auto"/>
              <w:bottom w:val="nil"/>
              <w:right w:val="nil"/>
            </w:tcBorders>
            <w:hideMark/>
          </w:tcPr>
          <w:p w:rsidR="009976CA" w:rsidRPr="00B21B58" w:rsidRDefault="009976CA" w:rsidP="009976CA">
            <w:r w:rsidRPr="00B21B58">
              <w:t>__X__    Direct Instruction/lecture</w:t>
            </w:r>
          </w:p>
        </w:tc>
        <w:tc>
          <w:tcPr>
            <w:tcW w:w="5868" w:type="dxa"/>
            <w:tcBorders>
              <w:top w:val="nil"/>
              <w:left w:val="nil"/>
              <w:bottom w:val="nil"/>
              <w:right w:val="single" w:sz="4" w:space="0" w:color="auto"/>
            </w:tcBorders>
            <w:hideMark/>
          </w:tcPr>
          <w:p w:rsidR="009976CA" w:rsidRPr="00B21B58" w:rsidRDefault="009976CA" w:rsidP="009976CA">
            <w:r w:rsidRPr="00B21B58">
              <w:t>__X__    Summarizing &amp; Note taking</w:t>
            </w:r>
          </w:p>
        </w:tc>
      </w:tr>
      <w:tr w:rsidR="009976CA" w:rsidRPr="00B21B58" w:rsidTr="009976CA">
        <w:tc>
          <w:tcPr>
            <w:tcW w:w="5868" w:type="dxa"/>
            <w:tcBorders>
              <w:top w:val="nil"/>
              <w:left w:val="single" w:sz="4" w:space="0" w:color="auto"/>
              <w:bottom w:val="nil"/>
              <w:right w:val="nil"/>
            </w:tcBorders>
            <w:hideMark/>
          </w:tcPr>
          <w:p w:rsidR="009976CA" w:rsidRPr="00B21B58" w:rsidRDefault="009976CA" w:rsidP="009976CA">
            <w:r w:rsidRPr="00B21B58">
              <w:t>____    Guided Practice</w:t>
            </w:r>
          </w:p>
        </w:tc>
        <w:tc>
          <w:tcPr>
            <w:tcW w:w="5868" w:type="dxa"/>
            <w:tcBorders>
              <w:top w:val="nil"/>
              <w:left w:val="nil"/>
              <w:bottom w:val="nil"/>
              <w:right w:val="single" w:sz="4" w:space="0" w:color="auto"/>
            </w:tcBorders>
            <w:hideMark/>
          </w:tcPr>
          <w:p w:rsidR="009976CA" w:rsidRPr="00B21B58" w:rsidRDefault="00B21B58" w:rsidP="009976CA">
            <w:r>
              <w:t>__X</w:t>
            </w:r>
            <w:r w:rsidR="009976CA" w:rsidRPr="00B21B58">
              <w:t>__    Cooperative Learning</w:t>
            </w:r>
          </w:p>
        </w:tc>
      </w:tr>
      <w:tr w:rsidR="009976CA" w:rsidRPr="00B21B58" w:rsidTr="009976CA">
        <w:tc>
          <w:tcPr>
            <w:tcW w:w="5868" w:type="dxa"/>
            <w:tcBorders>
              <w:top w:val="nil"/>
              <w:left w:val="single" w:sz="4" w:space="0" w:color="auto"/>
              <w:bottom w:val="nil"/>
              <w:right w:val="nil"/>
            </w:tcBorders>
            <w:hideMark/>
          </w:tcPr>
          <w:p w:rsidR="009976CA" w:rsidRPr="00B21B58" w:rsidRDefault="009976CA" w:rsidP="009976CA">
            <w:r w:rsidRPr="00B21B58">
              <w:t>____    Teacher Demo</w:t>
            </w:r>
          </w:p>
        </w:tc>
        <w:tc>
          <w:tcPr>
            <w:tcW w:w="5868" w:type="dxa"/>
            <w:tcBorders>
              <w:top w:val="nil"/>
              <w:left w:val="nil"/>
              <w:bottom w:val="nil"/>
              <w:right w:val="single" w:sz="4" w:space="0" w:color="auto"/>
            </w:tcBorders>
            <w:hideMark/>
          </w:tcPr>
          <w:p w:rsidR="009976CA" w:rsidRPr="00B21B58" w:rsidRDefault="009976CA" w:rsidP="009976CA">
            <w:r w:rsidRPr="00B21B58">
              <w:t>____    Identifying Similarities &amp; Differences</w:t>
            </w:r>
          </w:p>
        </w:tc>
      </w:tr>
      <w:tr w:rsidR="009976CA" w:rsidRPr="00B21B58" w:rsidTr="009976CA">
        <w:tc>
          <w:tcPr>
            <w:tcW w:w="5868" w:type="dxa"/>
            <w:tcBorders>
              <w:top w:val="nil"/>
              <w:left w:val="single" w:sz="4" w:space="0" w:color="auto"/>
              <w:bottom w:val="nil"/>
              <w:right w:val="nil"/>
            </w:tcBorders>
            <w:hideMark/>
          </w:tcPr>
          <w:p w:rsidR="009976CA" w:rsidRPr="00B21B58" w:rsidRDefault="009976CA" w:rsidP="009976CA">
            <w:r w:rsidRPr="00B21B58">
              <w:t>__</w:t>
            </w:r>
            <w:r w:rsidR="00B21B58">
              <w:t>X</w:t>
            </w:r>
            <w:r w:rsidRPr="00B21B58">
              <w:t>__    Group Discussion</w:t>
            </w:r>
          </w:p>
        </w:tc>
        <w:tc>
          <w:tcPr>
            <w:tcW w:w="5868" w:type="dxa"/>
            <w:tcBorders>
              <w:top w:val="nil"/>
              <w:left w:val="nil"/>
              <w:bottom w:val="nil"/>
              <w:right w:val="single" w:sz="4" w:space="0" w:color="auto"/>
            </w:tcBorders>
            <w:hideMark/>
          </w:tcPr>
          <w:p w:rsidR="009976CA" w:rsidRPr="00B21B58" w:rsidRDefault="009976CA" w:rsidP="009976CA">
            <w:r w:rsidRPr="00B21B58">
              <w:t>____    Nonlinguistic Representations</w:t>
            </w:r>
          </w:p>
        </w:tc>
      </w:tr>
      <w:tr w:rsidR="009976CA" w:rsidRPr="00B21B58" w:rsidTr="009976CA">
        <w:tc>
          <w:tcPr>
            <w:tcW w:w="5868" w:type="dxa"/>
            <w:tcBorders>
              <w:top w:val="nil"/>
              <w:left w:val="single" w:sz="4" w:space="0" w:color="auto"/>
              <w:bottom w:val="nil"/>
              <w:right w:val="nil"/>
            </w:tcBorders>
            <w:hideMark/>
          </w:tcPr>
          <w:p w:rsidR="009976CA" w:rsidRPr="00B21B58" w:rsidRDefault="00B21B58" w:rsidP="009976CA">
            <w:r>
              <w:t>__</w:t>
            </w:r>
            <w:r w:rsidR="009976CA" w:rsidRPr="00B21B58">
              <w:t>__    Graphic Organizer</w:t>
            </w:r>
          </w:p>
        </w:tc>
        <w:tc>
          <w:tcPr>
            <w:tcW w:w="5868" w:type="dxa"/>
            <w:tcBorders>
              <w:top w:val="nil"/>
              <w:left w:val="nil"/>
              <w:bottom w:val="nil"/>
              <w:right w:val="single" w:sz="4" w:space="0" w:color="auto"/>
            </w:tcBorders>
            <w:hideMark/>
          </w:tcPr>
          <w:p w:rsidR="009976CA" w:rsidRPr="00B21B58" w:rsidRDefault="009976CA" w:rsidP="009976CA">
            <w:r w:rsidRPr="00B21B58">
              <w:t>____    Setting Objectives</w:t>
            </w:r>
          </w:p>
        </w:tc>
      </w:tr>
      <w:tr w:rsidR="009976CA" w:rsidRPr="00B21B58" w:rsidTr="009976CA">
        <w:tc>
          <w:tcPr>
            <w:tcW w:w="5868" w:type="dxa"/>
            <w:tcBorders>
              <w:top w:val="nil"/>
              <w:left w:val="single" w:sz="4" w:space="0" w:color="auto"/>
              <w:bottom w:val="nil"/>
              <w:right w:val="nil"/>
            </w:tcBorders>
            <w:hideMark/>
          </w:tcPr>
          <w:p w:rsidR="009976CA" w:rsidRPr="00B21B58" w:rsidRDefault="009976CA" w:rsidP="009976CA">
            <w:r w:rsidRPr="00B21B58">
              <w:t>____    Technology Integration</w:t>
            </w:r>
          </w:p>
        </w:tc>
        <w:tc>
          <w:tcPr>
            <w:tcW w:w="5868" w:type="dxa"/>
            <w:tcBorders>
              <w:top w:val="nil"/>
              <w:left w:val="nil"/>
              <w:bottom w:val="nil"/>
              <w:right w:val="single" w:sz="4" w:space="0" w:color="auto"/>
            </w:tcBorders>
            <w:hideMark/>
          </w:tcPr>
          <w:p w:rsidR="009976CA" w:rsidRPr="00B21B58" w:rsidRDefault="009976CA" w:rsidP="009976CA">
            <w:r w:rsidRPr="00B21B58">
              <w:t>____    Generating &amp; Testing Hypotheses</w:t>
            </w:r>
          </w:p>
        </w:tc>
      </w:tr>
      <w:tr w:rsidR="009976CA" w:rsidRPr="00B21B58" w:rsidTr="009976CA">
        <w:tc>
          <w:tcPr>
            <w:tcW w:w="5868" w:type="dxa"/>
            <w:tcBorders>
              <w:top w:val="nil"/>
              <w:left w:val="single" w:sz="4" w:space="0" w:color="auto"/>
              <w:bottom w:val="single" w:sz="4" w:space="0" w:color="auto"/>
              <w:right w:val="nil"/>
            </w:tcBorders>
            <w:hideMark/>
          </w:tcPr>
          <w:p w:rsidR="009976CA" w:rsidRPr="00B21B58" w:rsidRDefault="009976CA" w:rsidP="009976CA">
            <w:r w:rsidRPr="00B21B58">
              <w:t>__</w:t>
            </w:r>
            <w:r w:rsidR="00B21B58">
              <w:t>X</w:t>
            </w:r>
            <w:r w:rsidRPr="00B21B58">
              <w:t>__    Independent Practice</w:t>
            </w:r>
          </w:p>
        </w:tc>
        <w:tc>
          <w:tcPr>
            <w:tcW w:w="5868" w:type="dxa"/>
            <w:tcBorders>
              <w:top w:val="nil"/>
              <w:left w:val="nil"/>
              <w:bottom w:val="single" w:sz="4" w:space="0" w:color="auto"/>
              <w:right w:val="single" w:sz="4" w:space="0" w:color="auto"/>
            </w:tcBorders>
            <w:hideMark/>
          </w:tcPr>
          <w:p w:rsidR="009976CA" w:rsidRPr="00B21B58" w:rsidRDefault="009976CA" w:rsidP="009976CA">
            <w:pPr>
              <w:rPr>
                <w:sz w:val="16"/>
                <w:szCs w:val="16"/>
              </w:rPr>
            </w:pPr>
            <w:r w:rsidRPr="00B21B58">
              <w:t>____    Other</w:t>
            </w:r>
            <w:r w:rsidRPr="00B21B58">
              <w:rPr>
                <w:sz w:val="16"/>
                <w:szCs w:val="16"/>
              </w:rPr>
              <w:t>(explain)</w:t>
            </w:r>
          </w:p>
        </w:tc>
      </w:tr>
    </w:tbl>
    <w:p w:rsidR="009976CA" w:rsidRPr="00B21B58" w:rsidRDefault="009976CA" w:rsidP="009976CA">
      <w:pPr>
        <w:jc w:val="center"/>
      </w:pPr>
    </w:p>
    <w:p w:rsidR="00792FFD" w:rsidRPr="00B21B58" w:rsidRDefault="00792FFD"/>
    <w:sectPr w:rsidR="00792FFD" w:rsidRPr="00B21B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E974CD"/>
    <w:multiLevelType w:val="hybridMultilevel"/>
    <w:tmpl w:val="D3A2862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 w15:restartNumberingAfterBreak="0">
    <w:nsid w:val="495516F1"/>
    <w:multiLevelType w:val="hybridMultilevel"/>
    <w:tmpl w:val="2BDC1E4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6CA"/>
    <w:rsid w:val="00002FCA"/>
    <w:rsid w:val="001952C6"/>
    <w:rsid w:val="003C2410"/>
    <w:rsid w:val="006B3DB6"/>
    <w:rsid w:val="00792FFD"/>
    <w:rsid w:val="009976CA"/>
    <w:rsid w:val="00B21B58"/>
    <w:rsid w:val="00DD4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3CFEAE-020E-46C6-B335-8A889921E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76CA"/>
    <w:pPr>
      <w:spacing w:after="0" w:line="240" w:lineRule="auto"/>
    </w:pPr>
    <w:rPr>
      <w:rFonts w:ascii="Arial" w:eastAsia="Times New Roman" w:hAnsi="Arial" w:cs="Arial"/>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76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9823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42CAA-4DB1-4686-A385-BCEF8AFFC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Clarenceville School District</Company>
  <LinksUpToDate>false</LinksUpToDate>
  <CharactersWithSpaces>1966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Clarenceville User</dc:creator>
  <cp:lastModifiedBy>ANTHONY SALCICCIOLI</cp:lastModifiedBy>
  <cp:revision>2</cp:revision>
  <dcterms:created xsi:type="dcterms:W3CDTF">2018-01-22T14:15:00Z</dcterms:created>
  <dcterms:modified xsi:type="dcterms:W3CDTF">2018-01-22T14:15:00Z</dcterms:modified>
</cp:coreProperties>
</file>