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23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A87789" w:rsidTr="00A87789">
        <w:tc>
          <w:tcPr>
            <w:tcW w:w="5868" w:type="dxa"/>
            <w:tcBorders>
              <w:bottom w:val="single" w:sz="4" w:space="0" w:color="auto"/>
            </w:tcBorders>
            <w:shd w:val="clear" w:color="auto" w:fill="auto"/>
          </w:tcPr>
          <w:p w:rsidR="00A87789" w:rsidRPr="001433EE" w:rsidRDefault="00A87789" w:rsidP="00A87789">
            <w:pPr>
              <w:rPr>
                <w:b/>
                <w:color w:val="000000"/>
              </w:rPr>
            </w:pPr>
            <w:r w:rsidRPr="001433EE">
              <w:rPr>
                <w:b/>
                <w:color w:val="000000"/>
              </w:rPr>
              <w:t xml:space="preserve">Class/Subject: </w:t>
            </w:r>
            <w:r w:rsidR="007753E4">
              <w:rPr>
                <w:b/>
                <w:color w:val="000000"/>
              </w:rPr>
              <w:t xml:space="preserve">World History </w:t>
            </w:r>
          </w:p>
        </w:tc>
        <w:tc>
          <w:tcPr>
            <w:tcW w:w="5868" w:type="dxa"/>
            <w:tcBorders>
              <w:bottom w:val="single" w:sz="4" w:space="0" w:color="auto"/>
            </w:tcBorders>
            <w:shd w:val="clear" w:color="auto" w:fill="auto"/>
          </w:tcPr>
          <w:p w:rsidR="00A87789" w:rsidRPr="001433EE" w:rsidRDefault="00F05420" w:rsidP="00A87789">
            <w:pPr>
              <w:rPr>
                <w:b/>
                <w:color w:val="000000"/>
              </w:rPr>
            </w:pPr>
            <w:r>
              <w:rPr>
                <w:b/>
                <w:color w:val="000000"/>
              </w:rPr>
              <w:t>Day 140</w:t>
            </w:r>
            <w:r w:rsidR="00A87789">
              <w:rPr>
                <w:b/>
                <w:color w:val="000000"/>
              </w:rPr>
              <w:t xml:space="preserve">: Armenian Genocide </w:t>
            </w:r>
          </w:p>
        </w:tc>
      </w:tr>
      <w:tr w:rsidR="00A87789" w:rsidTr="00A87789">
        <w:tc>
          <w:tcPr>
            <w:tcW w:w="5868" w:type="dxa"/>
            <w:tcBorders>
              <w:top w:val="single" w:sz="4" w:space="0" w:color="auto"/>
              <w:left w:val="nil"/>
              <w:bottom w:val="single" w:sz="4" w:space="0" w:color="auto"/>
              <w:right w:val="single" w:sz="4" w:space="0" w:color="auto"/>
            </w:tcBorders>
            <w:shd w:val="clear" w:color="auto" w:fill="auto"/>
          </w:tcPr>
          <w:p w:rsidR="00A87789" w:rsidRPr="001433EE" w:rsidRDefault="00A87789" w:rsidP="00A87789">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A87789" w:rsidRPr="001433EE" w:rsidRDefault="00A87789" w:rsidP="00A87789">
            <w:pPr>
              <w:rPr>
                <w:b/>
                <w:color w:val="000000"/>
              </w:rPr>
            </w:pPr>
          </w:p>
        </w:tc>
      </w:tr>
      <w:tr w:rsidR="00A87789" w:rsidTr="00A87789">
        <w:tc>
          <w:tcPr>
            <w:tcW w:w="5868" w:type="dxa"/>
            <w:tcBorders>
              <w:top w:val="single" w:sz="4" w:space="0" w:color="auto"/>
              <w:bottom w:val="single" w:sz="4" w:space="0" w:color="auto"/>
            </w:tcBorders>
            <w:shd w:val="clear" w:color="auto" w:fill="auto"/>
          </w:tcPr>
          <w:p w:rsidR="00A87789" w:rsidRPr="001433EE" w:rsidRDefault="00A87789" w:rsidP="00A87789">
            <w:pPr>
              <w:rPr>
                <w:b/>
                <w:color w:val="000000"/>
              </w:rPr>
            </w:pPr>
            <w:r w:rsidRPr="001433EE">
              <w:rPr>
                <w:b/>
                <w:color w:val="000000"/>
              </w:rPr>
              <w:t>Objective(s)</w:t>
            </w:r>
          </w:p>
          <w:p w:rsidR="00A87789" w:rsidRPr="001433EE" w:rsidRDefault="00A87789" w:rsidP="00A87789">
            <w:pPr>
              <w:rPr>
                <w:color w:val="000000"/>
              </w:rPr>
            </w:pPr>
            <w:r w:rsidRPr="001433EE">
              <w:rPr>
                <w:b/>
                <w:color w:val="000000"/>
              </w:rPr>
              <w:t>SWBAT…</w:t>
            </w:r>
            <w:r>
              <w:rPr>
                <w:b/>
                <w:color w:val="000000"/>
              </w:rPr>
              <w:t xml:space="preserve">connect historical examples and specific acts to the 8 stages of genocide. SWBAT establish the causes and effects of the Turkish genocide against the Armenian people and compare it to what transpired in the Holocaust </w:t>
            </w:r>
          </w:p>
        </w:tc>
        <w:tc>
          <w:tcPr>
            <w:tcW w:w="5868" w:type="dxa"/>
            <w:tcBorders>
              <w:top w:val="single" w:sz="4" w:space="0" w:color="auto"/>
              <w:bottom w:val="single" w:sz="4" w:space="0" w:color="auto"/>
            </w:tcBorders>
            <w:shd w:val="clear" w:color="auto" w:fill="auto"/>
          </w:tcPr>
          <w:p w:rsidR="00A87789" w:rsidRPr="001433EE" w:rsidRDefault="00A87789" w:rsidP="00A87789">
            <w:pPr>
              <w:rPr>
                <w:b/>
                <w:color w:val="000000"/>
              </w:rPr>
            </w:pPr>
            <w:r w:rsidRPr="001433EE">
              <w:rPr>
                <w:b/>
                <w:color w:val="000000"/>
              </w:rPr>
              <w:t>GLCE/CCS</w:t>
            </w:r>
          </w:p>
          <w:p w:rsidR="00A87789" w:rsidRDefault="00A87789" w:rsidP="00A87789">
            <w:pPr>
              <w:autoSpaceDE w:val="0"/>
              <w:autoSpaceDN w:val="0"/>
              <w:adjustRightInd w:val="0"/>
              <w:ind w:left="1440" w:hanging="1440"/>
              <w:rPr>
                <w:bCs/>
              </w:rPr>
            </w:pPr>
            <w:r w:rsidRPr="001433EE">
              <w:rPr>
                <w:b/>
                <w:color w:val="000000"/>
              </w:rPr>
              <w:t>Topic</w:t>
            </w:r>
            <w:r>
              <w:rPr>
                <w:b/>
                <w:color w:val="000000"/>
              </w:rPr>
              <w:t xml:space="preserve">: </w:t>
            </w:r>
            <w:r w:rsidRPr="005808B1">
              <w:rPr>
                <w:bCs/>
                <w:i/>
              </w:rPr>
              <w:t>WHG 7.1.3:</w:t>
            </w:r>
            <w:r>
              <w:rPr>
                <w:bCs/>
              </w:rPr>
              <w:tab/>
            </w:r>
            <w:r w:rsidRPr="006A6BB0">
              <w:rPr>
                <w:bCs/>
                <w:u w:val="single"/>
              </w:rPr>
              <w:t>Twentieth Century Genocide</w:t>
            </w:r>
            <w:r>
              <w:rPr>
                <w:bCs/>
              </w:rPr>
              <w:t xml:space="preserve"> - </w:t>
            </w:r>
            <w:r w:rsidRPr="006A6BB0">
              <w:rPr>
                <w:bCs/>
              </w:rPr>
              <w:t xml:space="preserve">Use various sources including works of journalists, journals, oral histories, films, interviews, and writings of participants to analyze the causes and consequences of the genocides of Armenians, Romas (Gypsies), and Jews, and the mass exterminations of Ukrainians and Chinese. </w:t>
            </w:r>
          </w:p>
          <w:p w:rsidR="00A87789" w:rsidRPr="001433EE" w:rsidRDefault="00A87789" w:rsidP="00A87789">
            <w:pPr>
              <w:rPr>
                <w:color w:val="000000"/>
              </w:rPr>
            </w:pPr>
          </w:p>
        </w:tc>
      </w:tr>
      <w:tr w:rsidR="00A87789" w:rsidTr="00A87789">
        <w:tc>
          <w:tcPr>
            <w:tcW w:w="5868" w:type="dxa"/>
            <w:tcBorders>
              <w:top w:val="single" w:sz="4" w:space="0" w:color="auto"/>
              <w:left w:val="nil"/>
              <w:bottom w:val="single" w:sz="4" w:space="0" w:color="auto"/>
              <w:right w:val="nil"/>
            </w:tcBorders>
            <w:shd w:val="clear" w:color="auto" w:fill="auto"/>
          </w:tcPr>
          <w:p w:rsidR="00A87789" w:rsidRPr="001433EE" w:rsidRDefault="00A87789" w:rsidP="00A87789">
            <w:pPr>
              <w:jc w:val="center"/>
              <w:rPr>
                <w:color w:val="000000"/>
              </w:rPr>
            </w:pPr>
          </w:p>
        </w:tc>
        <w:tc>
          <w:tcPr>
            <w:tcW w:w="5868" w:type="dxa"/>
            <w:tcBorders>
              <w:top w:val="single" w:sz="4" w:space="0" w:color="auto"/>
              <w:left w:val="nil"/>
              <w:bottom w:val="single" w:sz="4" w:space="0" w:color="auto"/>
              <w:right w:val="nil"/>
            </w:tcBorders>
            <w:shd w:val="clear" w:color="auto" w:fill="auto"/>
          </w:tcPr>
          <w:p w:rsidR="00A87789" w:rsidRPr="001433EE" w:rsidRDefault="00A87789" w:rsidP="00A87789">
            <w:pPr>
              <w:jc w:val="center"/>
              <w:rPr>
                <w:color w:val="000000"/>
              </w:rPr>
            </w:pPr>
          </w:p>
        </w:tc>
      </w:tr>
      <w:tr w:rsidR="00A87789" w:rsidTr="00A87789">
        <w:tc>
          <w:tcPr>
            <w:tcW w:w="5868" w:type="dxa"/>
            <w:tcBorders>
              <w:top w:val="single" w:sz="4" w:space="0" w:color="auto"/>
              <w:bottom w:val="single" w:sz="4" w:space="0" w:color="auto"/>
            </w:tcBorders>
            <w:shd w:val="clear" w:color="auto" w:fill="auto"/>
          </w:tcPr>
          <w:p w:rsidR="00A87789" w:rsidRDefault="00A87789" w:rsidP="00A87789">
            <w:pPr>
              <w:rPr>
                <w:b/>
                <w:color w:val="000000"/>
              </w:rPr>
            </w:pPr>
            <w:r w:rsidRPr="001433EE">
              <w:rPr>
                <w:b/>
                <w:color w:val="000000"/>
              </w:rPr>
              <w:t>Materials</w:t>
            </w:r>
            <w:r>
              <w:rPr>
                <w:b/>
                <w:color w:val="000000"/>
              </w:rPr>
              <w:t xml:space="preserve">: </w:t>
            </w:r>
          </w:p>
          <w:p w:rsidR="00A87789" w:rsidRDefault="00A87789" w:rsidP="00A87789">
            <w:pPr>
              <w:rPr>
                <w:b/>
                <w:color w:val="000000"/>
              </w:rPr>
            </w:pPr>
          </w:p>
          <w:p w:rsidR="00A87789" w:rsidRPr="00F05420" w:rsidRDefault="00A87789" w:rsidP="00F05420">
            <w:pPr>
              <w:pStyle w:val="ListParagraph"/>
              <w:numPr>
                <w:ilvl w:val="0"/>
                <w:numId w:val="2"/>
              </w:numPr>
              <w:rPr>
                <w:b/>
                <w:color w:val="000000"/>
              </w:rPr>
            </w:pPr>
            <w:r>
              <w:rPr>
                <w:b/>
                <w:color w:val="000000"/>
              </w:rPr>
              <w:t>Film Clip of Peter Jennings fro</w:t>
            </w:r>
            <w:r w:rsidR="007753E4">
              <w:rPr>
                <w:b/>
                <w:color w:val="000000"/>
              </w:rPr>
              <w:t>m</w:t>
            </w:r>
            <w:r w:rsidR="00F05420">
              <w:rPr>
                <w:b/>
                <w:color w:val="000000"/>
              </w:rPr>
              <w:t xml:space="preserve"> April of 1999 (Found on day 140 </w:t>
            </w:r>
            <w:bookmarkStart w:id="0" w:name="_GoBack"/>
            <w:bookmarkEnd w:id="0"/>
            <w:r w:rsidRPr="00F05420">
              <w:rPr>
                <w:b/>
                <w:color w:val="000000"/>
              </w:rPr>
              <w:t xml:space="preserve">of the Moodle page) </w:t>
            </w:r>
          </w:p>
          <w:p w:rsidR="00A87789" w:rsidRDefault="00A87789" w:rsidP="00A87789">
            <w:pPr>
              <w:pStyle w:val="ListParagraph"/>
              <w:numPr>
                <w:ilvl w:val="0"/>
                <w:numId w:val="2"/>
              </w:numPr>
              <w:rPr>
                <w:b/>
                <w:color w:val="000000"/>
              </w:rPr>
            </w:pPr>
            <w:r>
              <w:rPr>
                <w:b/>
                <w:color w:val="000000"/>
              </w:rPr>
              <w:t xml:space="preserve">Images taken by Armin Wegner on the site the forgotten.org </w:t>
            </w:r>
          </w:p>
          <w:p w:rsidR="00A87789" w:rsidRPr="00A87789" w:rsidRDefault="00A87789" w:rsidP="00A87789">
            <w:pPr>
              <w:pStyle w:val="ListParagraph"/>
              <w:numPr>
                <w:ilvl w:val="0"/>
                <w:numId w:val="2"/>
              </w:numPr>
              <w:rPr>
                <w:b/>
                <w:color w:val="000000"/>
              </w:rPr>
            </w:pPr>
            <w:r>
              <w:rPr>
                <w:b/>
                <w:color w:val="000000"/>
              </w:rPr>
              <w:t xml:space="preserve">Paper for Venn diagram </w:t>
            </w:r>
          </w:p>
          <w:p w:rsidR="00A87789" w:rsidRPr="001433EE" w:rsidRDefault="00A87789" w:rsidP="00A87789">
            <w:pPr>
              <w:rPr>
                <w:b/>
                <w:color w:val="000000"/>
              </w:rPr>
            </w:pPr>
          </w:p>
        </w:tc>
        <w:tc>
          <w:tcPr>
            <w:tcW w:w="5868" w:type="dxa"/>
            <w:tcBorders>
              <w:top w:val="single" w:sz="4" w:space="0" w:color="auto"/>
              <w:bottom w:val="single" w:sz="4" w:space="0" w:color="auto"/>
            </w:tcBorders>
            <w:shd w:val="clear" w:color="auto" w:fill="auto"/>
          </w:tcPr>
          <w:p w:rsidR="00A87789" w:rsidRDefault="00A87789" w:rsidP="00A87789">
            <w:pPr>
              <w:rPr>
                <w:b/>
                <w:color w:val="000000"/>
              </w:rPr>
            </w:pPr>
            <w:r>
              <w:rPr>
                <w:b/>
                <w:color w:val="000000"/>
              </w:rPr>
              <w:t xml:space="preserve">Procedure/Activities: </w:t>
            </w:r>
          </w:p>
          <w:p w:rsidR="00A87789" w:rsidRDefault="00A87789" w:rsidP="00A87789">
            <w:pPr>
              <w:numPr>
                <w:ilvl w:val="0"/>
                <w:numId w:val="1"/>
              </w:numPr>
              <w:rPr>
                <w:b/>
                <w:color w:val="000000"/>
              </w:rPr>
            </w:pPr>
            <w:r>
              <w:rPr>
                <w:b/>
                <w:color w:val="000000"/>
              </w:rPr>
              <w:t>News/This Day in History</w:t>
            </w:r>
          </w:p>
          <w:p w:rsidR="00A87789" w:rsidRDefault="00A87789" w:rsidP="00A87789">
            <w:pPr>
              <w:numPr>
                <w:ilvl w:val="0"/>
                <w:numId w:val="1"/>
              </w:numPr>
              <w:rPr>
                <w:b/>
                <w:color w:val="000000"/>
              </w:rPr>
            </w:pPr>
            <w:r>
              <w:rPr>
                <w:b/>
                <w:color w:val="000000"/>
              </w:rPr>
              <w:t>Survey- Your hero and their attributes? Write answers on board</w:t>
            </w:r>
          </w:p>
          <w:p w:rsidR="00A87789" w:rsidRDefault="00A87789" w:rsidP="00A87789">
            <w:pPr>
              <w:numPr>
                <w:ilvl w:val="0"/>
                <w:numId w:val="1"/>
              </w:numPr>
              <w:rPr>
                <w:b/>
                <w:color w:val="000000"/>
              </w:rPr>
            </w:pPr>
            <w:r>
              <w:rPr>
                <w:b/>
                <w:color w:val="000000"/>
              </w:rPr>
              <w:t>Show Peter Jennings clip</w:t>
            </w:r>
          </w:p>
          <w:p w:rsidR="00A87789" w:rsidRDefault="00A87789" w:rsidP="00A87789">
            <w:pPr>
              <w:numPr>
                <w:ilvl w:val="0"/>
                <w:numId w:val="1"/>
              </w:numPr>
              <w:rPr>
                <w:b/>
                <w:color w:val="000000"/>
              </w:rPr>
            </w:pPr>
            <w:r>
              <w:rPr>
                <w:b/>
                <w:color w:val="000000"/>
              </w:rPr>
              <w:t xml:space="preserve">Show photos from the forgotten.org and share the risk Armin Wegner took in taking them. Revisit list of heroism and compare to Wegner </w:t>
            </w:r>
          </w:p>
          <w:p w:rsidR="00A87789" w:rsidRDefault="00A87789" w:rsidP="00A87789">
            <w:pPr>
              <w:numPr>
                <w:ilvl w:val="0"/>
                <w:numId w:val="1"/>
              </w:numPr>
              <w:rPr>
                <w:b/>
                <w:color w:val="000000"/>
              </w:rPr>
            </w:pPr>
            <w:r>
              <w:rPr>
                <w:b/>
                <w:color w:val="000000"/>
              </w:rPr>
              <w:t xml:space="preserve">Students will pair up and create a Venn diagram comparing and contrasting the two genocides of this time period. As a class we will pool what is found. </w:t>
            </w:r>
          </w:p>
          <w:p w:rsidR="00A87789" w:rsidRPr="00A87789" w:rsidRDefault="00A87789" w:rsidP="00A87789">
            <w:pPr>
              <w:numPr>
                <w:ilvl w:val="0"/>
                <w:numId w:val="1"/>
              </w:numPr>
              <w:rPr>
                <w:b/>
                <w:color w:val="000000"/>
              </w:rPr>
            </w:pPr>
            <w:r>
              <w:rPr>
                <w:b/>
                <w:color w:val="000000"/>
              </w:rPr>
              <w:t xml:space="preserve">Summation lecture </w:t>
            </w:r>
          </w:p>
        </w:tc>
      </w:tr>
      <w:tr w:rsidR="00A87789" w:rsidTr="00A87789">
        <w:tc>
          <w:tcPr>
            <w:tcW w:w="5868" w:type="dxa"/>
            <w:tcBorders>
              <w:top w:val="single" w:sz="4" w:space="0" w:color="auto"/>
              <w:left w:val="nil"/>
              <w:bottom w:val="single" w:sz="4" w:space="0" w:color="auto"/>
              <w:right w:val="nil"/>
            </w:tcBorders>
            <w:shd w:val="clear" w:color="auto" w:fill="auto"/>
          </w:tcPr>
          <w:p w:rsidR="00A87789" w:rsidRDefault="00A87789" w:rsidP="00A87789">
            <w:pPr>
              <w:jc w:val="center"/>
            </w:pPr>
          </w:p>
        </w:tc>
        <w:tc>
          <w:tcPr>
            <w:tcW w:w="5868" w:type="dxa"/>
            <w:tcBorders>
              <w:top w:val="single" w:sz="4" w:space="0" w:color="auto"/>
              <w:left w:val="nil"/>
              <w:bottom w:val="single" w:sz="4" w:space="0" w:color="auto"/>
              <w:right w:val="nil"/>
            </w:tcBorders>
            <w:shd w:val="clear" w:color="auto" w:fill="auto"/>
          </w:tcPr>
          <w:p w:rsidR="00A87789" w:rsidRDefault="00A87789" w:rsidP="00A87789">
            <w:pPr>
              <w:jc w:val="center"/>
            </w:pPr>
          </w:p>
        </w:tc>
      </w:tr>
      <w:tr w:rsidR="00A87789" w:rsidTr="00A87789">
        <w:tc>
          <w:tcPr>
            <w:tcW w:w="11736" w:type="dxa"/>
            <w:gridSpan w:val="2"/>
            <w:tcBorders>
              <w:top w:val="single" w:sz="4" w:space="0" w:color="auto"/>
              <w:left w:val="single" w:sz="4" w:space="0" w:color="auto"/>
              <w:bottom w:val="nil"/>
              <w:right w:val="single" w:sz="4" w:space="0" w:color="auto"/>
            </w:tcBorders>
            <w:shd w:val="clear" w:color="auto" w:fill="auto"/>
          </w:tcPr>
          <w:p w:rsidR="00A87789" w:rsidRPr="001433EE" w:rsidRDefault="00A87789" w:rsidP="00A87789">
            <w:pPr>
              <w:jc w:val="center"/>
              <w:rPr>
                <w:b/>
                <w:sz w:val="16"/>
                <w:szCs w:val="16"/>
              </w:rPr>
            </w:pPr>
            <w:r w:rsidRPr="001433EE">
              <w:rPr>
                <w:b/>
                <w:u w:val="single"/>
              </w:rPr>
              <w:t>Strategies</w:t>
            </w:r>
            <w:r w:rsidRPr="001433EE">
              <w:rPr>
                <w:b/>
                <w:sz w:val="16"/>
                <w:szCs w:val="16"/>
                <w:u w:val="single"/>
              </w:rPr>
              <w:t xml:space="preserve"> (check all that apply)</w:t>
            </w:r>
          </w:p>
        </w:tc>
      </w:tr>
      <w:tr w:rsidR="00A87789" w:rsidTr="00A87789">
        <w:tc>
          <w:tcPr>
            <w:tcW w:w="5868" w:type="dxa"/>
            <w:tcBorders>
              <w:top w:val="nil"/>
              <w:left w:val="single" w:sz="4" w:space="0" w:color="auto"/>
              <w:bottom w:val="nil"/>
              <w:right w:val="nil"/>
            </w:tcBorders>
            <w:shd w:val="clear" w:color="auto" w:fill="auto"/>
          </w:tcPr>
          <w:p w:rsidR="00A87789" w:rsidRDefault="00A87789" w:rsidP="00A87789">
            <w:r>
              <w:t>___X_    Direct Instruction/lecture</w:t>
            </w:r>
          </w:p>
        </w:tc>
        <w:tc>
          <w:tcPr>
            <w:tcW w:w="5868" w:type="dxa"/>
            <w:tcBorders>
              <w:top w:val="nil"/>
              <w:left w:val="nil"/>
              <w:bottom w:val="nil"/>
              <w:right w:val="single" w:sz="4" w:space="0" w:color="auto"/>
            </w:tcBorders>
            <w:shd w:val="clear" w:color="auto" w:fill="auto"/>
          </w:tcPr>
          <w:p w:rsidR="00A87789" w:rsidRDefault="00A87789" w:rsidP="00A87789">
            <w:r>
              <w:t>__X__    Summarizing &amp; Note taking</w:t>
            </w:r>
          </w:p>
        </w:tc>
      </w:tr>
      <w:tr w:rsidR="00A87789" w:rsidTr="00A87789">
        <w:tc>
          <w:tcPr>
            <w:tcW w:w="5868" w:type="dxa"/>
            <w:tcBorders>
              <w:top w:val="nil"/>
              <w:left w:val="single" w:sz="4" w:space="0" w:color="auto"/>
              <w:bottom w:val="nil"/>
              <w:right w:val="nil"/>
            </w:tcBorders>
            <w:shd w:val="clear" w:color="auto" w:fill="auto"/>
          </w:tcPr>
          <w:p w:rsidR="00A87789" w:rsidRDefault="00A87789" w:rsidP="00A87789">
            <w:r>
              <w:t>____    Guided Practice</w:t>
            </w:r>
          </w:p>
        </w:tc>
        <w:tc>
          <w:tcPr>
            <w:tcW w:w="5868" w:type="dxa"/>
            <w:tcBorders>
              <w:top w:val="nil"/>
              <w:left w:val="nil"/>
              <w:bottom w:val="nil"/>
              <w:right w:val="single" w:sz="4" w:space="0" w:color="auto"/>
            </w:tcBorders>
            <w:shd w:val="clear" w:color="auto" w:fill="auto"/>
          </w:tcPr>
          <w:p w:rsidR="00A87789" w:rsidRDefault="00A87789" w:rsidP="00A87789">
            <w:r>
              <w:t>____    Cooperative Learning</w:t>
            </w:r>
          </w:p>
        </w:tc>
      </w:tr>
      <w:tr w:rsidR="00A87789" w:rsidTr="00A87789">
        <w:tc>
          <w:tcPr>
            <w:tcW w:w="5868" w:type="dxa"/>
            <w:tcBorders>
              <w:top w:val="nil"/>
              <w:left w:val="single" w:sz="4" w:space="0" w:color="auto"/>
              <w:bottom w:val="nil"/>
              <w:right w:val="nil"/>
            </w:tcBorders>
            <w:shd w:val="clear" w:color="auto" w:fill="auto"/>
          </w:tcPr>
          <w:p w:rsidR="00A87789" w:rsidRDefault="00A87789" w:rsidP="00A87789">
            <w:r>
              <w:t>____    Teacher Demo</w:t>
            </w:r>
          </w:p>
        </w:tc>
        <w:tc>
          <w:tcPr>
            <w:tcW w:w="5868" w:type="dxa"/>
            <w:tcBorders>
              <w:top w:val="nil"/>
              <w:left w:val="nil"/>
              <w:bottom w:val="nil"/>
              <w:right w:val="single" w:sz="4" w:space="0" w:color="auto"/>
            </w:tcBorders>
            <w:shd w:val="clear" w:color="auto" w:fill="auto"/>
          </w:tcPr>
          <w:p w:rsidR="00A87789" w:rsidRDefault="00A87789" w:rsidP="00A87789">
            <w:r>
              <w:t>__X__    Identifying Similarities &amp; Differences</w:t>
            </w:r>
          </w:p>
        </w:tc>
      </w:tr>
      <w:tr w:rsidR="00A87789" w:rsidTr="00A87789">
        <w:tc>
          <w:tcPr>
            <w:tcW w:w="5868" w:type="dxa"/>
            <w:tcBorders>
              <w:top w:val="nil"/>
              <w:left w:val="single" w:sz="4" w:space="0" w:color="auto"/>
              <w:bottom w:val="nil"/>
              <w:right w:val="nil"/>
            </w:tcBorders>
            <w:shd w:val="clear" w:color="auto" w:fill="auto"/>
          </w:tcPr>
          <w:p w:rsidR="00A87789" w:rsidRDefault="00A87789" w:rsidP="00A87789">
            <w:r>
              <w:t>__X__    Group Discussion</w:t>
            </w:r>
          </w:p>
        </w:tc>
        <w:tc>
          <w:tcPr>
            <w:tcW w:w="5868" w:type="dxa"/>
            <w:tcBorders>
              <w:top w:val="nil"/>
              <w:left w:val="nil"/>
              <w:bottom w:val="nil"/>
              <w:right w:val="single" w:sz="4" w:space="0" w:color="auto"/>
            </w:tcBorders>
            <w:shd w:val="clear" w:color="auto" w:fill="auto"/>
          </w:tcPr>
          <w:p w:rsidR="00A87789" w:rsidRDefault="00A87789" w:rsidP="00A87789">
            <w:r>
              <w:t>__X__    Nonlinguistic Representations</w:t>
            </w:r>
          </w:p>
        </w:tc>
      </w:tr>
      <w:tr w:rsidR="00A87789" w:rsidTr="00A87789">
        <w:tc>
          <w:tcPr>
            <w:tcW w:w="5868" w:type="dxa"/>
            <w:tcBorders>
              <w:top w:val="nil"/>
              <w:left w:val="single" w:sz="4" w:space="0" w:color="auto"/>
              <w:bottom w:val="nil"/>
              <w:right w:val="nil"/>
            </w:tcBorders>
            <w:shd w:val="clear" w:color="auto" w:fill="auto"/>
          </w:tcPr>
          <w:p w:rsidR="00A87789" w:rsidRDefault="00A87789" w:rsidP="00A87789">
            <w:r>
              <w:t>____    Graphic Organizer</w:t>
            </w:r>
          </w:p>
        </w:tc>
        <w:tc>
          <w:tcPr>
            <w:tcW w:w="5868" w:type="dxa"/>
            <w:tcBorders>
              <w:top w:val="nil"/>
              <w:left w:val="nil"/>
              <w:bottom w:val="nil"/>
              <w:right w:val="single" w:sz="4" w:space="0" w:color="auto"/>
            </w:tcBorders>
            <w:shd w:val="clear" w:color="auto" w:fill="auto"/>
          </w:tcPr>
          <w:p w:rsidR="00A87789" w:rsidRDefault="00A87789" w:rsidP="00A87789">
            <w:r>
              <w:t>____    Setting Objectives</w:t>
            </w:r>
          </w:p>
        </w:tc>
      </w:tr>
      <w:tr w:rsidR="00A87789" w:rsidTr="00A87789">
        <w:tc>
          <w:tcPr>
            <w:tcW w:w="5868" w:type="dxa"/>
            <w:tcBorders>
              <w:top w:val="nil"/>
              <w:left w:val="single" w:sz="4" w:space="0" w:color="auto"/>
              <w:bottom w:val="nil"/>
              <w:right w:val="nil"/>
            </w:tcBorders>
            <w:shd w:val="clear" w:color="auto" w:fill="auto"/>
          </w:tcPr>
          <w:p w:rsidR="00A87789" w:rsidRDefault="00A87789" w:rsidP="00A87789">
            <w:r>
              <w:t>__X__    Technology Integration</w:t>
            </w:r>
          </w:p>
        </w:tc>
        <w:tc>
          <w:tcPr>
            <w:tcW w:w="5868" w:type="dxa"/>
            <w:tcBorders>
              <w:top w:val="nil"/>
              <w:left w:val="nil"/>
              <w:bottom w:val="nil"/>
              <w:right w:val="single" w:sz="4" w:space="0" w:color="auto"/>
            </w:tcBorders>
            <w:shd w:val="clear" w:color="auto" w:fill="auto"/>
          </w:tcPr>
          <w:p w:rsidR="00A87789" w:rsidRDefault="00A87789" w:rsidP="00A87789">
            <w:r>
              <w:t>____    Generating &amp; Testing Hypotheses</w:t>
            </w:r>
          </w:p>
        </w:tc>
      </w:tr>
      <w:tr w:rsidR="00A87789" w:rsidTr="00A87789">
        <w:tc>
          <w:tcPr>
            <w:tcW w:w="5868" w:type="dxa"/>
            <w:tcBorders>
              <w:top w:val="nil"/>
              <w:left w:val="single" w:sz="4" w:space="0" w:color="auto"/>
              <w:bottom w:val="single" w:sz="4" w:space="0" w:color="auto"/>
              <w:right w:val="nil"/>
            </w:tcBorders>
            <w:shd w:val="clear" w:color="auto" w:fill="auto"/>
          </w:tcPr>
          <w:p w:rsidR="00A87789" w:rsidRDefault="00A87789" w:rsidP="00A87789">
            <w:r>
              <w:t>____    Independent Practice</w:t>
            </w:r>
          </w:p>
        </w:tc>
        <w:tc>
          <w:tcPr>
            <w:tcW w:w="5868" w:type="dxa"/>
            <w:tcBorders>
              <w:top w:val="nil"/>
              <w:left w:val="nil"/>
              <w:bottom w:val="single" w:sz="4" w:space="0" w:color="auto"/>
              <w:right w:val="single" w:sz="4" w:space="0" w:color="auto"/>
            </w:tcBorders>
            <w:shd w:val="clear" w:color="auto" w:fill="auto"/>
          </w:tcPr>
          <w:p w:rsidR="00A87789" w:rsidRPr="001433EE" w:rsidRDefault="00A87789" w:rsidP="00A87789">
            <w:pPr>
              <w:rPr>
                <w:sz w:val="16"/>
                <w:szCs w:val="16"/>
              </w:rPr>
            </w:pPr>
            <w:r>
              <w:t>__X__    Other</w:t>
            </w:r>
            <w:r>
              <w:rPr>
                <w:sz w:val="16"/>
                <w:szCs w:val="16"/>
              </w:rPr>
              <w:t>(primary source analysis</w:t>
            </w:r>
            <w:r w:rsidRPr="001433EE">
              <w:rPr>
                <w:sz w:val="16"/>
                <w:szCs w:val="16"/>
              </w:rPr>
              <w:t>)</w:t>
            </w:r>
          </w:p>
        </w:tc>
      </w:tr>
      <w:tr w:rsidR="00A87789" w:rsidTr="00A87789">
        <w:tc>
          <w:tcPr>
            <w:tcW w:w="5868" w:type="dxa"/>
            <w:tcBorders>
              <w:top w:val="single" w:sz="4" w:space="0" w:color="auto"/>
              <w:left w:val="nil"/>
              <w:bottom w:val="single" w:sz="4" w:space="0" w:color="auto"/>
              <w:right w:val="nil"/>
            </w:tcBorders>
            <w:shd w:val="clear" w:color="auto" w:fill="auto"/>
          </w:tcPr>
          <w:p w:rsidR="00A87789" w:rsidRDefault="00A87789" w:rsidP="00A87789"/>
        </w:tc>
        <w:tc>
          <w:tcPr>
            <w:tcW w:w="5868" w:type="dxa"/>
            <w:tcBorders>
              <w:top w:val="single" w:sz="4" w:space="0" w:color="auto"/>
              <w:left w:val="nil"/>
              <w:bottom w:val="single" w:sz="4" w:space="0" w:color="auto"/>
              <w:right w:val="nil"/>
            </w:tcBorders>
            <w:shd w:val="clear" w:color="auto" w:fill="auto"/>
          </w:tcPr>
          <w:p w:rsidR="00A87789" w:rsidRDefault="00A87789" w:rsidP="00A87789"/>
        </w:tc>
      </w:tr>
      <w:tr w:rsidR="00A87789" w:rsidTr="00A87789">
        <w:tc>
          <w:tcPr>
            <w:tcW w:w="5868" w:type="dxa"/>
            <w:tcBorders>
              <w:top w:val="single" w:sz="4" w:space="0" w:color="auto"/>
              <w:left w:val="single" w:sz="4" w:space="0" w:color="auto"/>
              <w:bottom w:val="single" w:sz="4" w:space="0" w:color="auto"/>
              <w:right w:val="single" w:sz="4" w:space="0" w:color="auto"/>
            </w:tcBorders>
            <w:shd w:val="clear" w:color="auto" w:fill="auto"/>
          </w:tcPr>
          <w:p w:rsidR="00A87789" w:rsidRPr="001433EE" w:rsidRDefault="00A87789" w:rsidP="00A87789">
            <w:pPr>
              <w:rPr>
                <w:b/>
              </w:rPr>
            </w:pPr>
            <w:r w:rsidRPr="001433EE">
              <w:rPr>
                <w:b/>
              </w:rPr>
              <w:t>Assessment</w:t>
            </w:r>
            <w:r>
              <w:rPr>
                <w:b/>
              </w:rPr>
              <w:t>: Students will receive a grade for their successful completion of their Venn Diagrams</w:t>
            </w: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A87789" w:rsidRPr="001433EE" w:rsidRDefault="00A87789" w:rsidP="00A87789">
            <w:pPr>
              <w:rPr>
                <w:b/>
                <w:szCs w:val="22"/>
              </w:rPr>
            </w:pPr>
            <w:r w:rsidRPr="001433EE">
              <w:rPr>
                <w:b/>
                <w:szCs w:val="22"/>
              </w:rPr>
              <w:t>Notes</w:t>
            </w:r>
          </w:p>
        </w:tc>
      </w:tr>
    </w:tbl>
    <w:p w:rsidR="00A87789" w:rsidRDefault="00A87789" w:rsidP="00A87789">
      <w:pPr>
        <w:jc w:val="center"/>
      </w:pPr>
    </w:p>
    <w:p w:rsidR="00D8744C" w:rsidRDefault="00D8744C"/>
    <w:sectPr w:rsidR="00D87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D3A5A"/>
    <w:multiLevelType w:val="hybridMultilevel"/>
    <w:tmpl w:val="06F08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2FF27BC"/>
    <w:multiLevelType w:val="hybridMultilevel"/>
    <w:tmpl w:val="25685A70"/>
    <w:lvl w:ilvl="0" w:tplc="14BE1EC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89"/>
    <w:rsid w:val="001C2006"/>
    <w:rsid w:val="004273FD"/>
    <w:rsid w:val="005E4E9E"/>
    <w:rsid w:val="007753E4"/>
    <w:rsid w:val="00896282"/>
    <w:rsid w:val="009249EB"/>
    <w:rsid w:val="00970084"/>
    <w:rsid w:val="00A87789"/>
    <w:rsid w:val="00BC6055"/>
    <w:rsid w:val="00C05604"/>
    <w:rsid w:val="00C634BD"/>
    <w:rsid w:val="00D8744C"/>
    <w:rsid w:val="00F05420"/>
    <w:rsid w:val="00F4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573B8"/>
  <w15:chartTrackingRefBased/>
  <w15:docId w15:val="{59D4DAD5-8E2A-486F-AA9B-0B06AB90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87789"/>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2016-02-28T15:05:00Z</dcterms:created>
  <dcterms:modified xsi:type="dcterms:W3CDTF">2016-02-28T15:05:00Z</dcterms:modified>
</cp:coreProperties>
</file>