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669" w:rsidRPr="00586669" w:rsidRDefault="00586669" w:rsidP="00586669">
      <w:pPr>
        <w:pStyle w:val="NormalWeb"/>
        <w:jc w:val="center"/>
        <w:rPr>
          <w:rFonts w:ascii="Perpetua" w:hAnsi="Perpetua"/>
          <w:color w:val="000000"/>
        </w:rPr>
      </w:pPr>
      <w:r>
        <w:rPr>
          <w:rFonts w:ascii="Perpetua" w:hAnsi="Perpetua"/>
          <w:b/>
          <w:color w:val="000000"/>
          <w:sz w:val="36"/>
        </w:rPr>
        <w:t>Reconquista and Spanish Inquisition Graphic Organizer</w:t>
      </w:r>
    </w:p>
    <w:tbl>
      <w:tblPr>
        <w:tblW w:w="25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86669" w:rsidRPr="00586669" w:rsidTr="0058666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>
              <w:rPr>
                <w:rFonts w:ascii="Perpetua" w:hAnsi="Perpetua"/>
                <w:b/>
                <w:sz w:val="22"/>
              </w:rPr>
              <w:t>“Muslim Control of Spain”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8"/>
              </w:rPr>
            </w:pPr>
            <w:r w:rsidRPr="00586669">
              <w:rPr>
                <w:rFonts w:ascii="Perpetua" w:hAnsi="Perpetua"/>
                <w:sz w:val="22"/>
              </w:rPr>
              <w:t xml:space="preserve">   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8"/>
              </w:rPr>
            </w:pPr>
            <w:r w:rsidRPr="00586669">
              <w:rPr>
                <w:rFonts w:ascii="Perpetua" w:hAnsi="Perpetua"/>
                <w:sz w:val="28"/>
              </w:rPr>
              <w:t> 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</w:tc>
      </w:tr>
    </w:tbl>
    <w:p w:rsidR="00586669" w:rsidRPr="00586669" w:rsidRDefault="00586669" w:rsidP="00586669">
      <w:pPr>
        <w:rPr>
          <w:rFonts w:ascii="Perpetua" w:hAnsi="Perpetua"/>
          <w:vanish/>
          <w:sz w:val="22"/>
        </w:rPr>
      </w:pPr>
    </w:p>
    <w:tbl>
      <w:tblPr>
        <w:tblW w:w="4504" w:type="pct"/>
        <w:tblCellSpacing w:w="0" w:type="dxa"/>
        <w:tblInd w:w="5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6"/>
        <w:gridCol w:w="329"/>
        <w:gridCol w:w="3946"/>
      </w:tblGrid>
      <w:tr w:rsidR="00586669" w:rsidRPr="00586669" w:rsidTr="00586669">
        <w:trPr>
          <w:tblCellSpacing w:w="0" w:type="dxa"/>
        </w:trPr>
        <w:tc>
          <w:tcPr>
            <w:tcW w:w="2465" w:type="pct"/>
            <w:vAlign w:val="center"/>
            <w:hideMark/>
          </w:tcPr>
          <w:p w:rsidR="00586669" w:rsidRPr="00586669" w:rsidRDefault="00586669">
            <w:pPr>
              <w:jc w:val="right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noProof/>
                <w:sz w:val="22"/>
              </w:rPr>
              <w:drawing>
                <wp:inline distT="0" distB="0" distL="0" distR="0" wp14:anchorId="6DA88A55" wp14:editId="4B6F2A7B">
                  <wp:extent cx="952500" cy="381000"/>
                  <wp:effectExtent l="0" t="0" r="0" b="0"/>
                  <wp:docPr id="1" name="Picture 1" descr="http://www.teach-nology.com/worksheets/graphic/themecomp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each-nology.com/worksheets/graphic/themecomp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pct"/>
            <w:vAlign w:val="center"/>
            <w:hideMark/>
          </w:tcPr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</w:tc>
        <w:tc>
          <w:tcPr>
            <w:tcW w:w="2340" w:type="pct"/>
            <w:vAlign w:val="center"/>
            <w:hideMark/>
          </w:tcPr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noProof/>
                <w:sz w:val="22"/>
              </w:rPr>
              <w:drawing>
                <wp:inline distT="0" distB="0" distL="0" distR="0" wp14:anchorId="75CFDB7B" wp14:editId="152C2BF4">
                  <wp:extent cx="1019175" cy="381000"/>
                  <wp:effectExtent l="0" t="0" r="9525" b="0"/>
                  <wp:docPr id="2" name="Picture 2" descr="http://www.teach-nology.com/worksheets/graphic/themecomp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www.teach-nology.com/worksheets/graphic/themecomp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669" w:rsidRPr="00586669" w:rsidTr="00586669">
        <w:trPr>
          <w:tblCellSpacing w:w="0" w:type="dxa"/>
        </w:trPr>
        <w:tc>
          <w:tcPr>
            <w:tcW w:w="2465" w:type="pct"/>
            <w:vAlign w:val="center"/>
            <w:hideMark/>
          </w:tcPr>
          <w:tbl>
            <w:tblPr>
              <w:tblW w:w="3960" w:type="dxa"/>
              <w:tblCellSpacing w:w="0" w:type="dxa"/>
              <w:tblInd w:w="1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0"/>
            </w:tblGrid>
            <w:tr w:rsidR="00586669" w:rsidRPr="00586669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b/>
                      <w:sz w:val="22"/>
                    </w:rPr>
                    <w:t>“Expulsion of Muslims and Jews”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</w:tc>
            </w:tr>
          </w:tbl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</w:p>
        </w:tc>
        <w:tc>
          <w:tcPr>
            <w:tcW w:w="195" w:type="pct"/>
            <w:vAlign w:val="center"/>
            <w:hideMark/>
          </w:tcPr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</w:tc>
        <w:tc>
          <w:tcPr>
            <w:tcW w:w="2340" w:type="pct"/>
            <w:vAlign w:val="center"/>
            <w:hideMark/>
          </w:tcPr>
          <w:tbl>
            <w:tblPr>
              <w:tblW w:w="4808" w:type="pct"/>
              <w:tblCellSpacing w:w="0" w:type="dxa"/>
              <w:tblInd w:w="15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94"/>
            </w:tblGrid>
            <w:tr w:rsidR="00586669" w:rsidRPr="00586669">
              <w:trPr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>
                    <w:rPr>
                      <w:rFonts w:ascii="Perpetua" w:hAnsi="Perpetua"/>
                      <w:b/>
                      <w:sz w:val="22"/>
                    </w:rPr>
                    <w:t xml:space="preserve">“The Inquisition Takes Hold” 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  <w:p w:rsidR="00586669" w:rsidRPr="00586669" w:rsidRDefault="00586669">
                  <w:pPr>
                    <w:pStyle w:val="NormalWeb"/>
                    <w:rPr>
                      <w:rFonts w:ascii="Perpetua" w:hAnsi="Perpetua"/>
                      <w:sz w:val="22"/>
                    </w:rPr>
                  </w:pPr>
                  <w:r w:rsidRPr="00586669">
                    <w:rPr>
                      <w:rFonts w:ascii="Perpetua" w:hAnsi="Perpetua"/>
                      <w:sz w:val="22"/>
                    </w:rPr>
                    <w:t> </w:t>
                  </w:r>
                </w:p>
              </w:tc>
            </w:tr>
          </w:tbl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</w:p>
        </w:tc>
      </w:tr>
      <w:tr w:rsidR="00586669" w:rsidRPr="00586669" w:rsidTr="00586669">
        <w:trPr>
          <w:tblCellSpacing w:w="0" w:type="dxa"/>
        </w:trPr>
        <w:tc>
          <w:tcPr>
            <w:tcW w:w="2465" w:type="pct"/>
            <w:vAlign w:val="center"/>
            <w:hideMark/>
          </w:tcPr>
          <w:p w:rsidR="00586669" w:rsidRPr="00586669" w:rsidRDefault="00586669">
            <w:pPr>
              <w:jc w:val="right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noProof/>
                <w:sz w:val="22"/>
              </w:rPr>
              <w:drawing>
                <wp:inline distT="0" distB="0" distL="0" distR="0" wp14:anchorId="42240095" wp14:editId="60427B39">
                  <wp:extent cx="952500" cy="381000"/>
                  <wp:effectExtent l="0" t="0" r="0" b="0"/>
                  <wp:docPr id="3" name="Picture 3" descr="http://www.teach-nology.com/worksheets/graphic/themecomp/righ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://www.teach-nology.com/worksheets/graphic/themecomp/righ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pct"/>
            <w:vAlign w:val="center"/>
            <w:hideMark/>
          </w:tcPr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</w:tc>
        <w:tc>
          <w:tcPr>
            <w:tcW w:w="2340" w:type="pct"/>
            <w:vAlign w:val="center"/>
            <w:hideMark/>
          </w:tcPr>
          <w:p w:rsidR="00586669" w:rsidRPr="00586669" w:rsidRDefault="00586669">
            <w:pPr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noProof/>
                <w:sz w:val="22"/>
              </w:rPr>
              <w:drawing>
                <wp:inline distT="0" distB="0" distL="0" distR="0" wp14:anchorId="7A373A8D" wp14:editId="2A24ED76">
                  <wp:extent cx="952500" cy="381000"/>
                  <wp:effectExtent l="0" t="0" r="0" b="0"/>
                  <wp:docPr id="4" name="Picture 4" descr="http://www.teach-nology.com/worksheets/graphic/themecomp/lef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teach-nology.com/worksheets/graphic/themecomp/lef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6669" w:rsidRPr="00586669" w:rsidRDefault="00586669" w:rsidP="00586669">
      <w:pPr>
        <w:rPr>
          <w:rFonts w:ascii="Perpetua" w:hAnsi="Perpetua"/>
          <w:vanish/>
          <w:sz w:val="22"/>
        </w:rPr>
      </w:pPr>
    </w:p>
    <w:tbl>
      <w:tblPr>
        <w:tblW w:w="25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</w:tblGrid>
      <w:tr w:rsidR="00586669" w:rsidRPr="00586669" w:rsidTr="00586669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>
              <w:rPr>
                <w:rFonts w:ascii="Perpetua" w:hAnsi="Perpetua"/>
                <w:b/>
                <w:sz w:val="22"/>
              </w:rPr>
              <w:t xml:space="preserve">“Torture Devices” 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  <w:p w:rsidR="00586669" w:rsidRPr="00586669" w:rsidRDefault="00586669">
            <w:pPr>
              <w:pStyle w:val="NormalWeb"/>
              <w:rPr>
                <w:rFonts w:ascii="Perpetua" w:hAnsi="Perpetua"/>
                <w:sz w:val="22"/>
              </w:rPr>
            </w:pPr>
            <w:r w:rsidRPr="00586669">
              <w:rPr>
                <w:rFonts w:ascii="Perpetua" w:hAnsi="Perpetua"/>
                <w:sz w:val="22"/>
              </w:rPr>
              <w:t> </w:t>
            </w:r>
          </w:p>
        </w:tc>
      </w:tr>
    </w:tbl>
    <w:p w:rsidR="00DD3FDB" w:rsidRDefault="00DD3FDB"/>
    <w:p w:rsidR="00586669" w:rsidRDefault="00586669">
      <w:r>
        <w:t xml:space="preserve">“The End of the Inquisition”- Reading and lecture notes </w:t>
      </w:r>
      <w:bookmarkStart w:id="0" w:name="_GoBack"/>
      <w:bookmarkEnd w:id="0"/>
    </w:p>
    <w:sectPr w:rsidR="00586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669"/>
    <w:rsid w:val="00586669"/>
    <w:rsid w:val="00DD3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FC2FD"/>
  <w15:chartTrackingRefBased/>
  <w15:docId w15:val="{E62030B4-FF97-45C6-AE5F-757F3F2A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66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58666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4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www.teach-nology.com/worksheets/graphic/themecomp/right.gi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http://www.teach-nology.com/worksheets/graphic/themecomp/left.gif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2015-11-19T02:08:00Z</dcterms:created>
  <dcterms:modified xsi:type="dcterms:W3CDTF">2015-11-19T02:10:00Z</dcterms:modified>
</cp:coreProperties>
</file>