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BF" w:rsidRDefault="00094CBF" w:rsidP="00094C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866FE">
        <w:rPr>
          <w:rFonts w:ascii="Times New Roman" w:hAnsi="Times New Roman" w:cs="Times New Roman"/>
          <w:b/>
          <w:sz w:val="28"/>
          <w:szCs w:val="24"/>
          <w:u w:val="single"/>
        </w:rPr>
        <w:t>Section 6.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E866FE">
        <w:rPr>
          <w:rFonts w:ascii="Times New Roman" w:hAnsi="Times New Roman" w:cs="Times New Roman"/>
          <w:b/>
          <w:sz w:val="28"/>
          <w:szCs w:val="24"/>
          <w:u w:val="single"/>
        </w:rPr>
        <w:t xml:space="preserve"> Notes –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Naming Compounds and Writing Formulas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pages 170-175 </w:t>
      </w:r>
      <w:r w:rsidRPr="003B6C33">
        <w:rPr>
          <w:rFonts w:ascii="Times New Roman" w:hAnsi="Times New Roman" w:cs="Times New Roman"/>
          <w:sz w:val="24"/>
          <w:szCs w:val="24"/>
        </w:rPr>
        <w:t>in order to complete the reading guide and answer the questions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Chemists use a system for naming compounds that is based on composition. In this system, the chemical name for lime is calcium oxide and its chemical formula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This formula tells you that there is a one-to-one ratio of calcium ions to oxide ions in calcium oxide. The _____________ of a compound serves as a reminder of the _______________ of the compound. </w:t>
      </w:r>
    </w:p>
    <w:p w:rsidR="00094CBF" w:rsidRDefault="00094CBF" w:rsidP="00094C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Describing Ionic Compounds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name cannot describe all the compounds of copper and oxygen. There must be at least two names to __________________ red copper oxide from black copper oxide. The name of an ionic compound must distinguish the compound from other ionic compounds containing the same ___________________. The formula of an ionic compound describes the ____________ of the _________ in the compound.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Binary Ionic Compounds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__________________ made from only _______ elements is a ________________ compound. (The Latin </w:t>
      </w:r>
      <w:proofErr w:type="gramStart"/>
      <w:r>
        <w:rPr>
          <w:rFonts w:ascii="Times New Roman" w:hAnsi="Times New Roman" w:cs="Times New Roman"/>
          <w:sz w:val="24"/>
          <w:szCs w:val="24"/>
        </w:rPr>
        <w:t>prefix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bi-</w:t>
      </w:r>
      <w:r>
        <w:rPr>
          <w:rFonts w:ascii="Times New Roman" w:hAnsi="Times New Roman" w:cs="Times New Roman"/>
          <w:sz w:val="24"/>
          <w:szCs w:val="24"/>
        </w:rPr>
        <w:t xml:space="preserve"> means “_______.” As in bicycle or bisect.) Naming binary ionic compounds, such as sodium chloride and cadmium iodide, is easy. The names have a predictable _______________: the ______________ of the _____________ followed by the ____________ of the _________________. Remember that the name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name of the _______________ without any change: sodium atom and sodium ion. The name for the _________________ uses part of the name of the nonmetal with the suffix </w:t>
      </w:r>
      <w:r>
        <w:rPr>
          <w:rFonts w:ascii="Times New Roman" w:hAnsi="Times New Roman" w:cs="Times New Roman"/>
          <w:i/>
          <w:sz w:val="24"/>
          <w:szCs w:val="24"/>
        </w:rPr>
        <w:t>–_____________:</w:t>
      </w:r>
      <w:r>
        <w:rPr>
          <w:rFonts w:ascii="Times New Roman" w:hAnsi="Times New Roman" w:cs="Times New Roman"/>
          <w:sz w:val="24"/>
          <w:szCs w:val="24"/>
        </w:rPr>
        <w:t xml:space="preserve"> iodine atom and iodide ion. The figure below shows the names and charges for eight common anions.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23" w:type="dxa"/>
        <w:tblLook w:val="04A0" w:firstRow="1" w:lastRow="0" w:firstColumn="1" w:lastColumn="0" w:noHBand="0" w:noVBand="1"/>
      </w:tblPr>
      <w:tblGrid>
        <w:gridCol w:w="1767"/>
        <w:gridCol w:w="1620"/>
        <w:gridCol w:w="1620"/>
        <w:gridCol w:w="1530"/>
      </w:tblGrid>
      <w:tr w:rsidR="00094CBF" w:rsidTr="00650C1C">
        <w:tc>
          <w:tcPr>
            <w:tcW w:w="6537" w:type="dxa"/>
            <w:gridSpan w:val="4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57078">
              <w:rPr>
                <w:rFonts w:ascii="Times New Roman" w:hAnsi="Times New Roman" w:cs="Times New Roman"/>
                <w:b/>
                <w:i/>
                <w:szCs w:val="24"/>
              </w:rPr>
              <w:t>Common Anions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7078">
              <w:rPr>
                <w:rFonts w:ascii="Times New Roman" w:hAnsi="Times New Roman" w:cs="Times New Roman"/>
                <w:b/>
                <w:szCs w:val="24"/>
              </w:rPr>
              <w:t>Element Name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7078">
              <w:rPr>
                <w:rFonts w:ascii="Times New Roman" w:hAnsi="Times New Roman" w:cs="Times New Roman"/>
                <w:b/>
                <w:szCs w:val="24"/>
              </w:rPr>
              <w:t>Ion Name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7078">
              <w:rPr>
                <w:rFonts w:ascii="Times New Roman" w:hAnsi="Times New Roman" w:cs="Times New Roman"/>
                <w:b/>
                <w:szCs w:val="24"/>
              </w:rPr>
              <w:t>Ion Symbol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7078">
              <w:rPr>
                <w:rFonts w:ascii="Times New Roman" w:hAnsi="Times New Roman" w:cs="Times New Roman"/>
                <w:b/>
                <w:szCs w:val="24"/>
              </w:rPr>
              <w:t>Ion Charge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Fluorine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Fluoride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F</w:t>
            </w:r>
            <w:r w:rsidRPr="00057078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1-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Chlorine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Chloride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7078">
              <w:rPr>
                <w:rFonts w:ascii="Times New Roman" w:hAnsi="Times New Roman" w:cs="Times New Roman"/>
                <w:szCs w:val="24"/>
              </w:rPr>
              <w:t>Cl</w:t>
            </w:r>
            <w:proofErr w:type="spellEnd"/>
            <w:r w:rsidRPr="00057078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1-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Bromine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Bromide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Br</w:t>
            </w:r>
            <w:r w:rsidRPr="00057078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1-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Iodine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Iodide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I</w:t>
            </w:r>
            <w:r w:rsidRPr="00057078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1-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Oxygen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Oxide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O</w:t>
            </w:r>
            <w:r w:rsidRPr="00057078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2-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Sulfur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Sulfide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S</w:t>
            </w:r>
            <w:r w:rsidRPr="00057078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2-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Nitrogen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Nitride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N</w:t>
            </w:r>
            <w:r w:rsidRPr="00057078">
              <w:rPr>
                <w:rFonts w:ascii="Times New Roman" w:hAnsi="Times New Roman" w:cs="Times New Roman"/>
                <w:szCs w:val="24"/>
                <w:vertAlign w:val="superscript"/>
              </w:rPr>
              <w:t>3-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3-</w:t>
            </w:r>
          </w:p>
        </w:tc>
      </w:tr>
      <w:tr w:rsidR="00094CBF" w:rsidTr="00650C1C">
        <w:tc>
          <w:tcPr>
            <w:tcW w:w="1767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Phosphorus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Phosphide</w:t>
            </w:r>
          </w:p>
        </w:tc>
        <w:tc>
          <w:tcPr>
            <w:tcW w:w="162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P</w:t>
            </w:r>
            <w:r w:rsidRPr="00057078">
              <w:rPr>
                <w:rFonts w:ascii="Times New Roman" w:hAnsi="Times New Roman" w:cs="Times New Roman"/>
                <w:szCs w:val="24"/>
                <w:vertAlign w:val="superscript"/>
              </w:rPr>
              <w:t>3-</w:t>
            </w:r>
          </w:p>
        </w:tc>
        <w:tc>
          <w:tcPr>
            <w:tcW w:w="1530" w:type="dxa"/>
          </w:tcPr>
          <w:p w:rsidR="00094CBF" w:rsidRPr="00057078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7078">
              <w:rPr>
                <w:rFonts w:ascii="Times New Roman" w:hAnsi="Times New Roman" w:cs="Times New Roman"/>
                <w:szCs w:val="24"/>
              </w:rPr>
              <w:t>3-</w:t>
            </w:r>
          </w:p>
        </w:tc>
      </w:tr>
    </w:tbl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Metals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Multiple Ions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alkali metals, alkaline earth metals, and aluminum form ions with ________________ charges equal to the___________ number. For example, the symbol for a potassium ion is 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the symbol for a calcium ion is 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, and the symbol for an aluminum ion is 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Many ___________________ metals form more than one __________ of _________. Notice the two copper ions listed in the figure below, a copper (I) ion with a 1+ charge and a copper (II) ion with a 2+ charge. When a metal forms more than one ion, the name of the ion contains a _______________    ___________________ to indicate the _____________ on the ion. These ion names can ____________________ red copper (I) oxide from black copper (II) oxide. The formula for “copper one oxide” is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because it takes two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1+</w:t>
      </w:r>
      <w:r>
        <w:rPr>
          <w:rFonts w:ascii="Times New Roman" w:hAnsi="Times New Roman" w:cs="Times New Roman"/>
          <w:sz w:val="24"/>
          <w:szCs w:val="24"/>
        </w:rPr>
        <w:t xml:space="preserve"> ions to _________________ out the charge on an 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ion. The formula for “copper two oxide”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because it takes only one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ion to balance the _________________ on an 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ion.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1491" w:type="dxa"/>
        <w:tblLook w:val="04A0" w:firstRow="1" w:lastRow="0" w:firstColumn="1" w:lastColumn="0" w:noHBand="0" w:noVBand="1"/>
      </w:tblPr>
      <w:tblGrid>
        <w:gridCol w:w="1548"/>
        <w:gridCol w:w="1530"/>
        <w:gridCol w:w="1800"/>
        <w:gridCol w:w="1530"/>
      </w:tblGrid>
      <w:tr w:rsidR="00094CBF" w:rsidRPr="00A75126" w:rsidTr="00650C1C">
        <w:trPr>
          <w:jc w:val="center"/>
        </w:trPr>
        <w:tc>
          <w:tcPr>
            <w:tcW w:w="6408" w:type="dxa"/>
            <w:gridSpan w:val="4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75126">
              <w:rPr>
                <w:rFonts w:ascii="Times New Roman" w:hAnsi="Times New Roman" w:cs="Times New Roman"/>
                <w:b/>
                <w:i/>
                <w:szCs w:val="24"/>
              </w:rPr>
              <w:t>Some Metal Cations</w:t>
            </w:r>
          </w:p>
        </w:tc>
      </w:tr>
      <w:tr w:rsidR="00094CBF" w:rsidRPr="00A75126" w:rsidTr="00650C1C">
        <w:trPr>
          <w:jc w:val="center"/>
        </w:trPr>
        <w:tc>
          <w:tcPr>
            <w:tcW w:w="1548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5126">
              <w:rPr>
                <w:rFonts w:ascii="Times New Roman" w:hAnsi="Times New Roman" w:cs="Times New Roman"/>
                <w:b/>
                <w:szCs w:val="24"/>
              </w:rPr>
              <w:t>Ion Name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5126">
              <w:rPr>
                <w:rFonts w:ascii="Times New Roman" w:hAnsi="Times New Roman" w:cs="Times New Roman"/>
                <w:b/>
                <w:szCs w:val="24"/>
              </w:rPr>
              <w:t>Ion Symbol</w:t>
            </w:r>
          </w:p>
        </w:tc>
        <w:tc>
          <w:tcPr>
            <w:tcW w:w="180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5126">
              <w:rPr>
                <w:rFonts w:ascii="Times New Roman" w:hAnsi="Times New Roman" w:cs="Times New Roman"/>
                <w:b/>
                <w:szCs w:val="24"/>
              </w:rPr>
              <w:t>Ion Name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5126">
              <w:rPr>
                <w:rFonts w:ascii="Times New Roman" w:hAnsi="Times New Roman" w:cs="Times New Roman"/>
                <w:b/>
                <w:szCs w:val="24"/>
              </w:rPr>
              <w:t>Ion Symbol</w:t>
            </w:r>
          </w:p>
        </w:tc>
      </w:tr>
      <w:tr w:rsidR="00094CBF" w:rsidRPr="00A75126" w:rsidTr="00650C1C">
        <w:trPr>
          <w:jc w:val="center"/>
        </w:trPr>
        <w:tc>
          <w:tcPr>
            <w:tcW w:w="1548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Copper(I)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Cu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+</w:t>
            </w:r>
          </w:p>
        </w:tc>
        <w:tc>
          <w:tcPr>
            <w:tcW w:w="180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Chromium(II)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Cr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2+</w:t>
            </w:r>
          </w:p>
        </w:tc>
      </w:tr>
      <w:tr w:rsidR="00094CBF" w:rsidRPr="00A75126" w:rsidTr="00650C1C">
        <w:trPr>
          <w:jc w:val="center"/>
        </w:trPr>
        <w:tc>
          <w:tcPr>
            <w:tcW w:w="1548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Copper(II)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Cu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2+</w:t>
            </w:r>
          </w:p>
        </w:tc>
        <w:tc>
          <w:tcPr>
            <w:tcW w:w="180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Chromium(III)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Cr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3+</w:t>
            </w:r>
          </w:p>
        </w:tc>
      </w:tr>
      <w:tr w:rsidR="00094CBF" w:rsidRPr="00A75126" w:rsidTr="00650C1C">
        <w:trPr>
          <w:jc w:val="center"/>
        </w:trPr>
        <w:tc>
          <w:tcPr>
            <w:tcW w:w="1548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Iron(II)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Fe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2+</w:t>
            </w:r>
          </w:p>
        </w:tc>
        <w:tc>
          <w:tcPr>
            <w:tcW w:w="180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Titanium(II)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Ti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2+</w:t>
            </w:r>
          </w:p>
        </w:tc>
      </w:tr>
      <w:tr w:rsidR="00094CBF" w:rsidRPr="00A75126" w:rsidTr="00650C1C">
        <w:trPr>
          <w:jc w:val="center"/>
        </w:trPr>
        <w:tc>
          <w:tcPr>
            <w:tcW w:w="1548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Iron(III)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Fe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3+</w:t>
            </w:r>
          </w:p>
        </w:tc>
        <w:tc>
          <w:tcPr>
            <w:tcW w:w="180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Titanium(III)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Ti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3+</w:t>
            </w:r>
          </w:p>
        </w:tc>
      </w:tr>
      <w:tr w:rsidR="00094CBF" w:rsidRPr="00A75126" w:rsidTr="00650C1C">
        <w:trPr>
          <w:jc w:val="center"/>
        </w:trPr>
        <w:tc>
          <w:tcPr>
            <w:tcW w:w="1548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Lead(II)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Pb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2+</w:t>
            </w:r>
          </w:p>
        </w:tc>
        <w:tc>
          <w:tcPr>
            <w:tcW w:w="180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Titanium(IV)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Ti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4+</w:t>
            </w:r>
          </w:p>
        </w:tc>
      </w:tr>
      <w:tr w:rsidR="00094CBF" w:rsidRPr="00A75126" w:rsidTr="00650C1C">
        <w:trPr>
          <w:jc w:val="center"/>
        </w:trPr>
        <w:tc>
          <w:tcPr>
            <w:tcW w:w="1548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Lead(IV)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Pb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4+</w:t>
            </w:r>
          </w:p>
        </w:tc>
        <w:tc>
          <w:tcPr>
            <w:tcW w:w="180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Mercury(II)</w:t>
            </w:r>
          </w:p>
        </w:tc>
        <w:tc>
          <w:tcPr>
            <w:tcW w:w="1530" w:type="dxa"/>
          </w:tcPr>
          <w:p w:rsidR="00094CBF" w:rsidRPr="00A75126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Hg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2+</w:t>
            </w:r>
          </w:p>
        </w:tc>
      </w:tr>
    </w:tbl>
    <w:p w:rsidR="00094CBF" w:rsidRPr="00A75126" w:rsidRDefault="00094CBF" w:rsidP="00094C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4CBF" w:rsidRPr="00A75126" w:rsidRDefault="00094CBF" w:rsidP="00094C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75126">
        <w:rPr>
          <w:rFonts w:ascii="Times New Roman" w:hAnsi="Times New Roman" w:cs="Times New Roman"/>
          <w:b/>
          <w:i/>
          <w:sz w:val="24"/>
          <w:szCs w:val="24"/>
        </w:rPr>
        <w:t>Polyatomic Ions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_____________________ bonded group of atoms that has a positive or negative charge and acts as a ____________is a ________________________ ion. The prefix </w:t>
      </w:r>
      <w:r>
        <w:rPr>
          <w:rFonts w:ascii="Times New Roman" w:hAnsi="Times New Roman" w:cs="Times New Roman"/>
          <w:i/>
          <w:sz w:val="24"/>
          <w:szCs w:val="24"/>
        </w:rPr>
        <w:t>poly-</w:t>
      </w:r>
      <w:r>
        <w:rPr>
          <w:rFonts w:ascii="Times New Roman" w:hAnsi="Times New Roman" w:cs="Times New Roman"/>
          <w:sz w:val="24"/>
          <w:szCs w:val="24"/>
        </w:rPr>
        <w:t xml:space="preserve"> means “__________.” Most simple polyatomic ions are ________________. The figure below lists the names and formulas for some polyatomic ions. Sometimes there are ___________________ in a formula that includes polyatomic ions. For example the formula for iron (III) hydroxide is </w:t>
      </w:r>
      <w:proofErr w:type="gramStart"/>
      <w:r>
        <w:rPr>
          <w:rFonts w:ascii="Times New Roman" w:hAnsi="Times New Roman" w:cs="Times New Roman"/>
          <w:sz w:val="24"/>
          <w:szCs w:val="24"/>
        </w:rPr>
        <w:t>Fe(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The subscript 3 indicates that there are ___________ hydroxide ions for each iron (III) ion.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1174" w:type="dxa"/>
        <w:tblLook w:val="04A0" w:firstRow="1" w:lastRow="0" w:firstColumn="1" w:lastColumn="0" w:noHBand="0" w:noVBand="1"/>
      </w:tblPr>
      <w:tblGrid>
        <w:gridCol w:w="1728"/>
        <w:gridCol w:w="1440"/>
        <w:gridCol w:w="2250"/>
        <w:gridCol w:w="1620"/>
      </w:tblGrid>
      <w:tr w:rsidR="00094CBF" w:rsidTr="00650C1C">
        <w:trPr>
          <w:jc w:val="center"/>
        </w:trPr>
        <w:tc>
          <w:tcPr>
            <w:tcW w:w="7038" w:type="dxa"/>
            <w:gridSpan w:val="4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41F00">
              <w:rPr>
                <w:rFonts w:ascii="Times New Roman" w:hAnsi="Times New Roman" w:cs="Times New Roman"/>
                <w:b/>
                <w:i/>
                <w:szCs w:val="24"/>
              </w:rPr>
              <w:t>Some Polyatomic Ions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1F00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1F00">
              <w:rPr>
                <w:rFonts w:ascii="Times New Roman" w:hAnsi="Times New Roman" w:cs="Times New Roman"/>
                <w:b/>
                <w:szCs w:val="24"/>
              </w:rPr>
              <w:t>Formula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1F00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1F00">
              <w:rPr>
                <w:rFonts w:ascii="Times New Roman" w:hAnsi="Times New Roman" w:cs="Times New Roman"/>
                <w:b/>
                <w:szCs w:val="24"/>
              </w:rPr>
              <w:t>Formula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Ammonium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NH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+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Acetate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C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41F00">
              <w:rPr>
                <w:rFonts w:ascii="Times New Roman" w:hAnsi="Times New Roman" w:cs="Times New Roman"/>
                <w:szCs w:val="24"/>
              </w:rPr>
              <w:t>H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B41F00">
              <w:rPr>
                <w:rFonts w:ascii="Times New Roman" w:hAnsi="Times New Roman" w:cs="Times New Roman"/>
                <w:szCs w:val="24"/>
              </w:rPr>
              <w:t>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Hydroxide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OH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Peroxide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Nitrate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NO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Permanganate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MnO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Sulfate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SO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Hydrogen sulfate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HSO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Carbonate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CO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Hydrogen carbonate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HCO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Phosphate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PO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3-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Hydrogen phosphate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HPO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Chromate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CrO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Dichromate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Cr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41F00">
              <w:rPr>
                <w:rFonts w:ascii="Times New Roman" w:hAnsi="Times New Roman" w:cs="Times New Roman"/>
                <w:szCs w:val="24"/>
              </w:rPr>
              <w:t>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7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</w:tr>
      <w:tr w:rsidR="00094CBF" w:rsidTr="00650C1C">
        <w:trPr>
          <w:jc w:val="center"/>
        </w:trPr>
        <w:tc>
          <w:tcPr>
            <w:tcW w:w="1728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Silicate</w:t>
            </w:r>
          </w:p>
        </w:tc>
        <w:tc>
          <w:tcPr>
            <w:tcW w:w="144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SiO</w:t>
            </w:r>
            <w:r w:rsidRPr="00B41F00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2-</w:t>
            </w:r>
          </w:p>
        </w:tc>
        <w:tc>
          <w:tcPr>
            <w:tcW w:w="225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00">
              <w:rPr>
                <w:rFonts w:ascii="Times New Roman" w:hAnsi="Times New Roman" w:cs="Times New Roman"/>
                <w:szCs w:val="24"/>
              </w:rPr>
              <w:t>Hypochlorite</w:t>
            </w:r>
          </w:p>
        </w:tc>
        <w:tc>
          <w:tcPr>
            <w:tcW w:w="1620" w:type="dxa"/>
          </w:tcPr>
          <w:p w:rsidR="00094CBF" w:rsidRPr="00B41F00" w:rsidRDefault="00094CBF" w:rsidP="00650C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1F00">
              <w:rPr>
                <w:rFonts w:ascii="Times New Roman" w:hAnsi="Times New Roman" w:cs="Times New Roman"/>
                <w:szCs w:val="24"/>
              </w:rPr>
              <w:t>OCl</w:t>
            </w:r>
            <w:proofErr w:type="spellEnd"/>
            <w:r w:rsidRPr="00B41F00">
              <w:rPr>
                <w:rFonts w:ascii="Times New Roman" w:hAnsi="Times New Roman" w:cs="Times New Roman"/>
                <w:szCs w:val="24"/>
                <w:vertAlign w:val="superscript"/>
              </w:rPr>
              <w:t>-</w:t>
            </w:r>
          </w:p>
        </w:tc>
      </w:tr>
    </w:tbl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CBF" w:rsidRDefault="00094CBF" w:rsidP="00094C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Writing Formulas for Ionic Compounds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know the __________ of an ionic ____________________, you can write its ________________. Place the ________________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first, followed by the symbol of the ______________. Use ______________________ to show the ____________ of the ions in </w:t>
      </w:r>
      <w:r>
        <w:rPr>
          <w:rFonts w:ascii="Times New Roman" w:hAnsi="Times New Roman" w:cs="Times New Roman"/>
          <w:sz w:val="24"/>
          <w:szCs w:val="24"/>
        </w:rPr>
        <w:lastRenderedPageBreak/>
        <w:t>the compound. Because all compounds are ___________________, the total charges on the cations and anions must add up to ______________.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an atom that gains two electrons, such as sulfur,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an atom that loses one electron, such as sodium. There must be two sodium ions (Na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) for each sulfide ion (S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). The formula for sodium sulfide is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S. The 2- charge on one sulfide ion is __________________ by the 1+ </w:t>
      </w:r>
      <w:proofErr w:type="gramStart"/>
      <w:r>
        <w:rPr>
          <w:rFonts w:ascii="Times New Roman" w:hAnsi="Times New Roman" w:cs="Times New Roman"/>
          <w:sz w:val="24"/>
          <w:szCs w:val="24"/>
        </w:rPr>
        <w:t>charges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two sodium ions.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Describing Molecular Compounds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ionic compounds, _____________________ compounds have names that identify 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compounds,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formulas that _____________ those names. With molecular compounds, the focus is on the ____________________ of ____________________. The name and formula of a molecular compound describe the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 of _____________ in a molecule of the compound.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Naming Molecular Compounds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general rule is that the most __________________ element appears __________ in the name. These elements are _________________ to the _________ in the periodic table. If both elements are in the same group, the more metallic element is closer to the ______________ of the group. The name of the second element is ___________________ to end in the suffix </w:t>
      </w:r>
      <w:r>
        <w:rPr>
          <w:rFonts w:ascii="Times New Roman" w:hAnsi="Times New Roman" w:cs="Times New Roman"/>
          <w:i/>
          <w:sz w:val="24"/>
          <w:szCs w:val="24"/>
        </w:rPr>
        <w:t>–ide</w:t>
      </w:r>
      <w:r>
        <w:rPr>
          <w:rFonts w:ascii="Times New Roman" w:hAnsi="Times New Roman" w:cs="Times New Roman"/>
          <w:sz w:val="24"/>
          <w:szCs w:val="24"/>
        </w:rPr>
        <w:t>, as in carbon dioxide.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compounds that contain nitrogen and oxygen have the formulas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names of these two compounds _______________ the actual number of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nitrogen and oxygen in a molecule of each compound.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can use the Greek _______________ in the figure below to describe the number of nitrogen and oxygen atoms in each molecule.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1800"/>
      </w:tblGrid>
      <w:tr w:rsidR="00094CBF" w:rsidTr="00650C1C">
        <w:trPr>
          <w:jc w:val="center"/>
        </w:trPr>
        <w:tc>
          <w:tcPr>
            <w:tcW w:w="3969" w:type="dxa"/>
            <w:gridSpan w:val="2"/>
          </w:tcPr>
          <w:p w:rsidR="00094CBF" w:rsidRPr="00E156FD" w:rsidRDefault="00094CBF" w:rsidP="00650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Prefixes for Naming Compounds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Pr="00E156FD" w:rsidRDefault="00094CBF" w:rsidP="0065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FD">
              <w:rPr>
                <w:rFonts w:ascii="Times New Roman" w:hAnsi="Times New Roman" w:cs="Times New Roman"/>
                <w:b/>
                <w:sz w:val="24"/>
                <w:szCs w:val="24"/>
              </w:rPr>
              <w:t>Number of Atoms</w:t>
            </w:r>
          </w:p>
        </w:tc>
        <w:tc>
          <w:tcPr>
            <w:tcW w:w="1800" w:type="dxa"/>
          </w:tcPr>
          <w:p w:rsidR="00094CBF" w:rsidRPr="00E156FD" w:rsidRDefault="00094CBF" w:rsidP="0065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FD">
              <w:rPr>
                <w:rFonts w:ascii="Times New Roman" w:hAnsi="Times New Roman" w:cs="Times New Roman"/>
                <w:b/>
                <w:sz w:val="24"/>
                <w:szCs w:val="24"/>
              </w:rPr>
              <w:t>Prefix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Tetra-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Hexa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Hepta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Nona-</w:t>
            </w:r>
          </w:p>
        </w:tc>
      </w:tr>
      <w:tr w:rsidR="00094CBF" w:rsidTr="00650C1C">
        <w:trPr>
          <w:jc w:val="center"/>
        </w:trPr>
        <w:tc>
          <w:tcPr>
            <w:tcW w:w="2169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094CBF" w:rsidRDefault="00094CBF" w:rsidP="0065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molecule, there are two nitrogen atoms and four oxygen atoms. The Greek prefixes for two and four are </w:t>
      </w:r>
      <w:r>
        <w:rPr>
          <w:rFonts w:ascii="Times New Roman" w:hAnsi="Times New Roman" w:cs="Times New Roman"/>
          <w:i/>
          <w:sz w:val="24"/>
          <w:szCs w:val="24"/>
        </w:rPr>
        <w:t>di-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tetra-</w:t>
      </w:r>
      <w:r>
        <w:rPr>
          <w:rFonts w:ascii="Times New Roman" w:hAnsi="Times New Roman" w:cs="Times New Roman"/>
          <w:sz w:val="24"/>
          <w:szCs w:val="24"/>
        </w:rPr>
        <w:t>. The name for the compound with the formula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dinitrogen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tetraoxide</w:t>
      </w:r>
      <w:proofErr w:type="spellEnd"/>
      <w:r>
        <w:rPr>
          <w:rFonts w:ascii="Times New Roman" w:hAnsi="Times New Roman" w:cs="Times New Roman"/>
          <w:sz w:val="24"/>
          <w:szCs w:val="24"/>
        </w:rPr>
        <w:t>. In an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molecule, there are one nitrogen atom and two oxygen atoms.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Greek prefixes for one and two are </w:t>
      </w:r>
      <w:r>
        <w:rPr>
          <w:rFonts w:ascii="Times New Roman" w:hAnsi="Times New Roman" w:cs="Times New Roman"/>
          <w:i/>
          <w:sz w:val="24"/>
          <w:szCs w:val="24"/>
        </w:rPr>
        <w:t>mono-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di-</w:t>
      </w:r>
      <w:r>
        <w:rPr>
          <w:rFonts w:ascii="Times New Roman" w:hAnsi="Times New Roman" w:cs="Times New Roman"/>
          <w:sz w:val="24"/>
          <w:szCs w:val="24"/>
        </w:rPr>
        <w:t>. So a name for the ___________________ with the formula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mononitrogen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dioxide. However, the 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mono-</w:t>
      </w:r>
      <w:r>
        <w:rPr>
          <w:rFonts w:ascii="Times New Roman" w:hAnsi="Times New Roman" w:cs="Times New Roman"/>
          <w:sz w:val="24"/>
          <w:szCs w:val="24"/>
        </w:rPr>
        <w:t xml:space="preserve"> often is ___________ used for the _____________ element in the name. A more _________________ name for the compound with the formula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nitrogen dioxide.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Writing Molecular Formulas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Writing the formula for a ________________ compound is easy. Write the _______________ for the elements in the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elements _____________ in the name. The prefixes indicate the __________________ of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each element in the ________________. The prefixes appear as _______________________ in the formulas. If there is _______ prefix for an element in the name, there is only _________ atom for that element in the molecule.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formula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diphosphorus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tetrafluoride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Because the compound is __________________, look for elements on the _______________ side of the periodic table. Phosphorus has the symbol P. Fluorine has the symbol F. </w:t>
      </w:r>
      <w:r>
        <w:rPr>
          <w:rFonts w:ascii="Times New Roman" w:hAnsi="Times New Roman" w:cs="Times New Roman"/>
          <w:i/>
          <w:sz w:val="24"/>
          <w:szCs w:val="24"/>
        </w:rPr>
        <w:t>Di-</w:t>
      </w:r>
      <w:r>
        <w:rPr>
          <w:rFonts w:ascii="Times New Roman" w:hAnsi="Times New Roman" w:cs="Times New Roman"/>
          <w:sz w:val="24"/>
          <w:szCs w:val="24"/>
        </w:rPr>
        <w:t xml:space="preserve"> indicates two phosphorus atoms and </w:t>
      </w:r>
      <w:r>
        <w:rPr>
          <w:rFonts w:ascii="Times New Roman" w:hAnsi="Times New Roman" w:cs="Times New Roman"/>
          <w:i/>
          <w:sz w:val="24"/>
          <w:szCs w:val="24"/>
        </w:rPr>
        <w:t>tetra-</w:t>
      </w:r>
      <w:r>
        <w:rPr>
          <w:rFonts w:ascii="Times New Roman" w:hAnsi="Times New Roman" w:cs="Times New Roman"/>
          <w:sz w:val="24"/>
          <w:szCs w:val="24"/>
        </w:rPr>
        <w:t xml:space="preserve"> indicates four fluorine atoms. The formula for the compound is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Comprehension Questions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formula of an ionic compound describe?</w:t>
      </w:r>
    </w:p>
    <w:p w:rsidR="00094CBF" w:rsidRDefault="00094CBF" w:rsidP="00094C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 name and formula of a molecular compound describe?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suffix is used to indicate an anion?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Roman numerals used in the names of compounds that contain transition metals?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polyatomic ion?</w:t>
      </w: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BF" w:rsidRDefault="00094CBF" w:rsidP="0009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262" w:rsidRPr="00094CBF" w:rsidRDefault="00F97262" w:rsidP="00094CBF">
      <w:bookmarkStart w:id="0" w:name="_GoBack"/>
      <w:bookmarkEnd w:id="0"/>
    </w:p>
    <w:sectPr w:rsidR="00F97262" w:rsidRPr="00094C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59" w:rsidRDefault="00CB2B59" w:rsidP="00CB2B59">
      <w:pPr>
        <w:spacing w:after="0" w:line="240" w:lineRule="auto"/>
      </w:pPr>
      <w:r>
        <w:separator/>
      </w:r>
    </w:p>
  </w:endnote>
  <w:endnote w:type="continuationSeparator" w:id="0">
    <w:p w:rsidR="00CB2B59" w:rsidRDefault="00CB2B59" w:rsidP="00C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59" w:rsidRDefault="00CB2B59" w:rsidP="00CB2B59">
      <w:pPr>
        <w:spacing w:after="0" w:line="240" w:lineRule="auto"/>
      </w:pPr>
      <w:r>
        <w:separator/>
      </w:r>
    </w:p>
  </w:footnote>
  <w:footnote w:type="continuationSeparator" w:id="0">
    <w:p w:rsidR="00CB2B59" w:rsidRDefault="00CB2B59" w:rsidP="00CB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59" w:rsidRDefault="00CB2B59">
    <w:pPr>
      <w:pStyle w:val="Header"/>
    </w:pPr>
    <w:r>
      <w:t>Name____________________________________   Date_____________________   Page___________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7E4"/>
    <w:multiLevelType w:val="hybridMultilevel"/>
    <w:tmpl w:val="EE725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078EE"/>
    <w:multiLevelType w:val="hybridMultilevel"/>
    <w:tmpl w:val="0582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64BF0"/>
    <w:multiLevelType w:val="hybridMultilevel"/>
    <w:tmpl w:val="73BEA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59"/>
    <w:rsid w:val="00094CBF"/>
    <w:rsid w:val="00CB2B59"/>
    <w:rsid w:val="00D620D1"/>
    <w:rsid w:val="00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59"/>
  </w:style>
  <w:style w:type="paragraph" w:styleId="Footer">
    <w:name w:val="footer"/>
    <w:basedOn w:val="Normal"/>
    <w:link w:val="FooterChar"/>
    <w:uiPriority w:val="99"/>
    <w:unhideWhenUsed/>
    <w:rsid w:val="00CB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59"/>
  </w:style>
  <w:style w:type="table" w:styleId="TableGrid">
    <w:name w:val="Table Grid"/>
    <w:basedOn w:val="TableNormal"/>
    <w:uiPriority w:val="59"/>
    <w:rsid w:val="0009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59"/>
  </w:style>
  <w:style w:type="paragraph" w:styleId="Footer">
    <w:name w:val="footer"/>
    <w:basedOn w:val="Normal"/>
    <w:link w:val="FooterChar"/>
    <w:uiPriority w:val="99"/>
    <w:unhideWhenUsed/>
    <w:rsid w:val="00CB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59"/>
  </w:style>
  <w:style w:type="table" w:styleId="TableGrid">
    <w:name w:val="Table Grid"/>
    <w:basedOn w:val="TableNormal"/>
    <w:uiPriority w:val="59"/>
    <w:rsid w:val="0009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2</cp:revision>
  <dcterms:created xsi:type="dcterms:W3CDTF">2014-11-25T14:17:00Z</dcterms:created>
  <dcterms:modified xsi:type="dcterms:W3CDTF">2014-11-25T14:17:00Z</dcterms:modified>
</cp:coreProperties>
</file>