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8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CF7208" w:rsidTr="00CF7208">
        <w:tc>
          <w:tcPr>
            <w:tcW w:w="5868" w:type="dxa"/>
            <w:tcBorders>
              <w:top w:val="single" w:sz="4" w:space="0" w:color="auto"/>
              <w:left w:val="single" w:sz="4" w:space="0" w:color="auto"/>
              <w:bottom w:val="single" w:sz="4" w:space="0" w:color="auto"/>
              <w:right w:val="single" w:sz="4" w:space="0" w:color="auto"/>
            </w:tcBorders>
            <w:hideMark/>
          </w:tcPr>
          <w:p w:rsidR="00CF7208" w:rsidRDefault="00D735E1" w:rsidP="00CF7208">
            <w:pPr>
              <w:rPr>
                <w:b/>
                <w:color w:val="000000"/>
              </w:rPr>
            </w:pPr>
            <w:r>
              <w:rPr>
                <w:b/>
                <w:color w:val="00000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r>
              <w:rPr>
                <w:b/>
                <w:color w:val="000000"/>
              </w:rPr>
              <w:t>Day</w:t>
            </w:r>
            <w:r w:rsidR="00D735E1">
              <w:rPr>
                <w:b/>
                <w:color w:val="000000"/>
              </w:rPr>
              <w:t xml:space="preserve"> 40</w:t>
            </w:r>
            <w:r w:rsidR="00CD03F3">
              <w:rPr>
                <w:b/>
                <w:color w:val="000000"/>
              </w:rPr>
              <w:t xml:space="preserve">: “The Middle Men of the Silk Road”: The Parthians and Kushan </w:t>
            </w:r>
          </w:p>
        </w:tc>
      </w:tr>
      <w:tr w:rsidR="00CF7208" w:rsidTr="00CF7208">
        <w:tc>
          <w:tcPr>
            <w:tcW w:w="5868" w:type="dxa"/>
            <w:tcBorders>
              <w:top w:val="single" w:sz="4" w:space="0" w:color="auto"/>
              <w:left w:val="nil"/>
              <w:bottom w:val="single" w:sz="4" w:space="0" w:color="auto"/>
              <w:right w:val="single" w:sz="4" w:space="0" w:color="auto"/>
            </w:tcBorders>
          </w:tcPr>
          <w:p w:rsidR="00CF7208" w:rsidRDefault="00CF7208" w:rsidP="00CF7208">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p>
        </w:tc>
      </w:tr>
      <w:tr w:rsidR="00CF7208" w:rsidTr="00CF7208">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r>
              <w:rPr>
                <w:b/>
                <w:color w:val="000000"/>
              </w:rPr>
              <w:t>Objective(s)</w:t>
            </w:r>
          </w:p>
          <w:p w:rsidR="00CF7208" w:rsidRDefault="00CF7208" w:rsidP="00CF7208">
            <w:pPr>
              <w:rPr>
                <w:b/>
                <w:color w:val="000000"/>
              </w:rPr>
            </w:pPr>
          </w:p>
          <w:p w:rsidR="00CF7208" w:rsidRDefault="00CD03F3" w:rsidP="00CF7208">
            <w:pPr>
              <w:rPr>
                <w:color w:val="000000"/>
              </w:rPr>
            </w:pPr>
            <w:r>
              <w:rPr>
                <w:b/>
                <w:color w:val="000000"/>
              </w:rPr>
              <w:t xml:space="preserve">SWBAT explore the Parthian and Kushan’s role in the Silk Road. SWBAT draw parallels to the Silk Road and present means of doing business. SWBAT reiterate the importance of the Silk Road in ushering in the Ear of Increased Hemispheric Interactions. </w:t>
            </w:r>
          </w:p>
        </w:tc>
        <w:tc>
          <w:tcPr>
            <w:tcW w:w="5868" w:type="dxa"/>
            <w:tcBorders>
              <w:top w:val="single" w:sz="4" w:space="0" w:color="auto"/>
              <w:left w:val="single" w:sz="4" w:space="0" w:color="auto"/>
              <w:bottom w:val="single" w:sz="4" w:space="0" w:color="auto"/>
              <w:right w:val="single" w:sz="4" w:space="0" w:color="auto"/>
            </w:tcBorders>
          </w:tcPr>
          <w:p w:rsidR="00CF7208" w:rsidRDefault="002E1F76" w:rsidP="00CF7208">
            <w:pPr>
              <w:rPr>
                <w:b/>
                <w:color w:val="000000"/>
              </w:rPr>
            </w:pPr>
            <w:r>
              <w:rPr>
                <w:b/>
                <w:color w:val="000000"/>
              </w:rPr>
              <w:t>HS</w:t>
            </w:r>
            <w:r w:rsidR="00CF7208">
              <w:rPr>
                <w:b/>
                <w:color w:val="000000"/>
              </w:rPr>
              <w:t>CE/CCS</w:t>
            </w:r>
          </w:p>
          <w:p w:rsidR="00CF7208" w:rsidRDefault="00CF7208" w:rsidP="00CF7208">
            <w:pPr>
              <w:rPr>
                <w:b/>
                <w:bCs/>
                <w:color w:val="000000"/>
              </w:rPr>
            </w:pPr>
            <w:r>
              <w:rPr>
                <w:b/>
                <w:color w:val="000000"/>
              </w:rPr>
              <w:t>Topic:</w:t>
            </w:r>
            <w:r w:rsidR="00CD03F3">
              <w:rPr>
                <w:b/>
                <w:bCs/>
                <w:color w:val="000000"/>
              </w:rPr>
              <w:t xml:space="preserve"> </w:t>
            </w:r>
            <w:r w:rsidR="00CD03F3" w:rsidRPr="00CD03F3">
              <w:t xml:space="preserve"> </w:t>
            </w:r>
            <w:r w:rsidR="00CD03F3" w:rsidRPr="00CD03F3">
              <w:rPr>
                <w:b/>
                <w:bCs/>
                <w:color w:val="000000"/>
              </w:rPr>
              <w:t>4.1.3 Trade Networks and Contacts – Analyze the development, interdependence, specialization, and importance of interregional trading systems both within and between societies including • land-based routes across the Sahara, Eurasia and Europe • water-based routes across Indian Ocean, Persian Gulf, South China Sea, Red and Mediterranean Seas (National Geography Standard 11, p. 206)</w:t>
            </w:r>
          </w:p>
          <w:p w:rsidR="00CF7208" w:rsidRDefault="00CF7208" w:rsidP="00CF7208">
            <w:pPr>
              <w:rPr>
                <w:color w:val="000000"/>
              </w:rPr>
            </w:pPr>
          </w:p>
        </w:tc>
      </w:tr>
      <w:tr w:rsidR="00CF7208" w:rsidTr="00CF7208">
        <w:tc>
          <w:tcPr>
            <w:tcW w:w="5868" w:type="dxa"/>
            <w:tcBorders>
              <w:top w:val="single" w:sz="4" w:space="0" w:color="auto"/>
              <w:left w:val="nil"/>
              <w:bottom w:val="single" w:sz="4" w:space="0" w:color="auto"/>
              <w:right w:val="nil"/>
            </w:tcBorders>
          </w:tcPr>
          <w:p w:rsidR="00CF7208" w:rsidRDefault="00CF7208" w:rsidP="00CF7208">
            <w:pPr>
              <w:jc w:val="center"/>
              <w:rPr>
                <w:color w:val="000000"/>
              </w:rPr>
            </w:pPr>
          </w:p>
        </w:tc>
        <w:tc>
          <w:tcPr>
            <w:tcW w:w="5868" w:type="dxa"/>
            <w:tcBorders>
              <w:top w:val="single" w:sz="4" w:space="0" w:color="auto"/>
              <w:left w:val="nil"/>
              <w:bottom w:val="single" w:sz="4" w:space="0" w:color="auto"/>
              <w:right w:val="nil"/>
            </w:tcBorders>
          </w:tcPr>
          <w:p w:rsidR="00CF7208" w:rsidRDefault="00CF7208" w:rsidP="00CF7208">
            <w:pPr>
              <w:jc w:val="center"/>
              <w:rPr>
                <w:color w:val="000000"/>
              </w:rPr>
            </w:pPr>
          </w:p>
        </w:tc>
      </w:tr>
      <w:tr w:rsidR="00CF7208" w:rsidTr="00CF7208">
        <w:tc>
          <w:tcPr>
            <w:tcW w:w="5868" w:type="dxa"/>
            <w:tcBorders>
              <w:top w:val="single" w:sz="4" w:space="0" w:color="auto"/>
              <w:left w:val="single" w:sz="4" w:space="0" w:color="auto"/>
              <w:bottom w:val="single" w:sz="4" w:space="0" w:color="auto"/>
              <w:right w:val="single" w:sz="4" w:space="0" w:color="auto"/>
            </w:tcBorders>
          </w:tcPr>
          <w:p w:rsidR="00CF7208" w:rsidRDefault="00CF7208" w:rsidP="00CF7208">
            <w:pPr>
              <w:rPr>
                <w:b/>
                <w:color w:val="000000"/>
              </w:rPr>
            </w:pPr>
            <w:r>
              <w:rPr>
                <w:b/>
                <w:color w:val="000000"/>
              </w:rPr>
              <w:t xml:space="preserve">Materials: </w:t>
            </w:r>
          </w:p>
          <w:p w:rsidR="00CF7208" w:rsidRDefault="00CF7208" w:rsidP="00CF7208">
            <w:pPr>
              <w:rPr>
                <w:b/>
                <w:color w:val="000000"/>
              </w:rPr>
            </w:pPr>
          </w:p>
          <w:p w:rsidR="00CF7208" w:rsidRDefault="00CD03F3" w:rsidP="00D735E1">
            <w:pPr>
              <w:pStyle w:val="ListParagraph"/>
              <w:numPr>
                <w:ilvl w:val="0"/>
                <w:numId w:val="2"/>
              </w:numPr>
              <w:rPr>
                <w:b/>
                <w:color w:val="000000"/>
              </w:rPr>
            </w:pPr>
            <w:r>
              <w:rPr>
                <w:b/>
                <w:color w:val="000000"/>
              </w:rPr>
              <w:t>GeoHistogram</w:t>
            </w:r>
          </w:p>
          <w:p w:rsidR="00CD03F3" w:rsidRDefault="00CD03F3" w:rsidP="00D735E1">
            <w:pPr>
              <w:pStyle w:val="ListParagraph"/>
              <w:numPr>
                <w:ilvl w:val="0"/>
                <w:numId w:val="2"/>
              </w:numPr>
              <w:rPr>
                <w:b/>
                <w:color w:val="000000"/>
              </w:rPr>
            </w:pPr>
            <w:r>
              <w:rPr>
                <w:b/>
                <w:color w:val="000000"/>
              </w:rPr>
              <w:t xml:space="preserve">PowerPoint regarding Arabic numerals </w:t>
            </w:r>
          </w:p>
          <w:p w:rsidR="00CD03F3" w:rsidRDefault="00CD03F3" w:rsidP="00D735E1">
            <w:pPr>
              <w:pStyle w:val="ListParagraph"/>
              <w:numPr>
                <w:ilvl w:val="0"/>
                <w:numId w:val="2"/>
              </w:numPr>
              <w:rPr>
                <w:b/>
                <w:color w:val="000000"/>
              </w:rPr>
            </w:pPr>
            <w:r>
              <w:rPr>
                <w:b/>
                <w:color w:val="000000"/>
              </w:rPr>
              <w:t xml:space="preserve">Reading on Day 40 of the Moodle page </w:t>
            </w:r>
          </w:p>
          <w:p w:rsidR="00CD03F3" w:rsidRDefault="00CD03F3" w:rsidP="00CD03F3">
            <w:pPr>
              <w:pStyle w:val="ListParagraph"/>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r>
              <w:rPr>
                <w:b/>
                <w:color w:val="000000"/>
              </w:rPr>
              <w:t>Procedure/Activities:</w:t>
            </w:r>
          </w:p>
          <w:p w:rsidR="00CF7208" w:rsidRPr="001A771C" w:rsidRDefault="00F376D3" w:rsidP="00F376D3">
            <w:pPr>
              <w:pStyle w:val="ListParagraph"/>
              <w:numPr>
                <w:ilvl w:val="0"/>
                <w:numId w:val="2"/>
              </w:numPr>
              <w:rPr>
                <w:b/>
                <w:color w:val="000000"/>
                <w:sz w:val="20"/>
                <w:szCs w:val="20"/>
              </w:rPr>
            </w:pPr>
            <w:r w:rsidRPr="001A771C">
              <w:rPr>
                <w:b/>
                <w:color w:val="000000"/>
                <w:sz w:val="20"/>
                <w:szCs w:val="20"/>
              </w:rPr>
              <w:t>News/This Day in History</w:t>
            </w:r>
          </w:p>
          <w:p w:rsidR="00F376D3" w:rsidRPr="001A771C" w:rsidRDefault="00CD03F3" w:rsidP="00CD03F3">
            <w:pPr>
              <w:pStyle w:val="ListParagraph"/>
              <w:numPr>
                <w:ilvl w:val="0"/>
                <w:numId w:val="2"/>
              </w:numPr>
              <w:rPr>
                <w:b/>
                <w:color w:val="000000"/>
                <w:sz w:val="20"/>
                <w:szCs w:val="20"/>
              </w:rPr>
            </w:pPr>
            <w:r w:rsidRPr="001A771C">
              <w:rPr>
                <w:b/>
                <w:color w:val="000000"/>
                <w:sz w:val="20"/>
                <w:szCs w:val="20"/>
              </w:rPr>
              <w:t>Brainstorm: “How did your shoes”?- Take a commodity through the entire process- emphasize the role of the middle men</w:t>
            </w:r>
          </w:p>
          <w:p w:rsidR="00CD03F3" w:rsidRPr="001A771C" w:rsidRDefault="00CD03F3" w:rsidP="00CD03F3">
            <w:pPr>
              <w:pStyle w:val="ListParagraph"/>
              <w:numPr>
                <w:ilvl w:val="0"/>
                <w:numId w:val="2"/>
              </w:numPr>
              <w:rPr>
                <w:b/>
                <w:color w:val="000000"/>
                <w:sz w:val="20"/>
                <w:szCs w:val="20"/>
              </w:rPr>
            </w:pPr>
            <w:r w:rsidRPr="001A771C">
              <w:rPr>
                <w:b/>
                <w:color w:val="000000"/>
                <w:sz w:val="20"/>
                <w:szCs w:val="20"/>
              </w:rPr>
              <w:t xml:space="preserve">Students will look at their GeoHistograms and find the Parthians and Kushan and find where they were located using traditional maps. </w:t>
            </w:r>
          </w:p>
          <w:p w:rsidR="001A771C" w:rsidRPr="001A771C" w:rsidRDefault="00CD03F3" w:rsidP="001A771C">
            <w:pPr>
              <w:pStyle w:val="ListParagraph"/>
              <w:numPr>
                <w:ilvl w:val="0"/>
                <w:numId w:val="2"/>
              </w:numPr>
              <w:rPr>
                <w:b/>
                <w:color w:val="000000"/>
                <w:sz w:val="20"/>
                <w:szCs w:val="20"/>
              </w:rPr>
            </w:pPr>
            <w:r w:rsidRPr="001A771C">
              <w:rPr>
                <w:b/>
                <w:color w:val="000000"/>
                <w:sz w:val="20"/>
                <w:szCs w:val="20"/>
              </w:rPr>
              <w:t>Submit reading and model proper reading methods and annotation</w:t>
            </w:r>
          </w:p>
          <w:p w:rsidR="001A771C" w:rsidRPr="001A771C" w:rsidRDefault="001A771C" w:rsidP="001A771C">
            <w:pPr>
              <w:pStyle w:val="ListParagraph"/>
              <w:numPr>
                <w:ilvl w:val="0"/>
                <w:numId w:val="2"/>
              </w:numPr>
              <w:rPr>
                <w:b/>
                <w:color w:val="000000"/>
                <w:sz w:val="20"/>
                <w:szCs w:val="20"/>
              </w:rPr>
            </w:pPr>
            <w:r w:rsidRPr="001A771C">
              <w:rPr>
                <w:b/>
                <w:color w:val="000000"/>
                <w:sz w:val="20"/>
                <w:szCs w:val="20"/>
              </w:rPr>
              <w:t>After the reading, emphasize 7 key vocabulary words: 1) Agrarian, 2) AfroEurasia, 3) Exchanges, 4) Pastoral Nomads, 5) Maritime/Trade winds, 6) Middlemen, 7) Role of camels</w:t>
            </w:r>
          </w:p>
          <w:p w:rsidR="00CD03F3" w:rsidRPr="00CD03F3" w:rsidRDefault="00CD03F3" w:rsidP="00CD03F3">
            <w:pPr>
              <w:pStyle w:val="ListParagraph"/>
              <w:numPr>
                <w:ilvl w:val="0"/>
                <w:numId w:val="2"/>
              </w:numPr>
              <w:rPr>
                <w:b/>
                <w:color w:val="000000"/>
              </w:rPr>
            </w:pPr>
            <w:r w:rsidRPr="001A771C">
              <w:rPr>
                <w:b/>
                <w:color w:val="000000"/>
                <w:sz w:val="20"/>
                <w:szCs w:val="20"/>
              </w:rPr>
              <w:t xml:space="preserve">As a summation, show the PowerPoint on Arabic numerals to reiterate the importance of collective learning on the Silk Road and throughout history. </w:t>
            </w:r>
          </w:p>
        </w:tc>
      </w:tr>
      <w:tr w:rsidR="00CF7208" w:rsidTr="00CF7208">
        <w:tc>
          <w:tcPr>
            <w:tcW w:w="5868" w:type="dxa"/>
            <w:tcBorders>
              <w:top w:val="single" w:sz="4" w:space="0" w:color="auto"/>
              <w:left w:val="nil"/>
              <w:bottom w:val="single" w:sz="4" w:space="0" w:color="auto"/>
              <w:right w:val="nil"/>
            </w:tcBorders>
          </w:tcPr>
          <w:p w:rsidR="00CF7208" w:rsidRDefault="00CF7208" w:rsidP="00CF7208">
            <w:pPr>
              <w:jc w:val="center"/>
            </w:pPr>
          </w:p>
        </w:tc>
        <w:tc>
          <w:tcPr>
            <w:tcW w:w="5868" w:type="dxa"/>
            <w:tcBorders>
              <w:top w:val="single" w:sz="4" w:space="0" w:color="auto"/>
              <w:left w:val="nil"/>
              <w:bottom w:val="single" w:sz="4" w:space="0" w:color="auto"/>
              <w:right w:val="nil"/>
            </w:tcBorders>
          </w:tcPr>
          <w:p w:rsidR="00CF7208" w:rsidRDefault="00CF7208" w:rsidP="00CF7208">
            <w:pPr>
              <w:jc w:val="center"/>
            </w:pPr>
          </w:p>
        </w:tc>
      </w:tr>
      <w:tr w:rsidR="00CF7208" w:rsidTr="00CF7208">
        <w:tc>
          <w:tcPr>
            <w:tcW w:w="11736" w:type="dxa"/>
            <w:gridSpan w:val="2"/>
            <w:tcBorders>
              <w:top w:val="single" w:sz="4" w:space="0" w:color="auto"/>
              <w:left w:val="single" w:sz="4" w:space="0" w:color="auto"/>
              <w:bottom w:val="nil"/>
              <w:right w:val="single" w:sz="4" w:space="0" w:color="auto"/>
            </w:tcBorders>
            <w:hideMark/>
          </w:tcPr>
          <w:p w:rsidR="00CF7208" w:rsidRDefault="00CF7208" w:rsidP="00CF7208">
            <w:pPr>
              <w:jc w:val="center"/>
              <w:rPr>
                <w:b/>
                <w:sz w:val="16"/>
                <w:szCs w:val="16"/>
              </w:rPr>
            </w:pPr>
            <w:r>
              <w:rPr>
                <w:b/>
                <w:u w:val="single"/>
              </w:rPr>
              <w:t>Strategies</w:t>
            </w:r>
            <w:r>
              <w:rPr>
                <w:b/>
                <w:sz w:val="16"/>
                <w:szCs w:val="16"/>
                <w:u w:val="single"/>
              </w:rPr>
              <w:t xml:space="preserve"> (check all that apply)</w:t>
            </w:r>
          </w:p>
        </w:tc>
      </w:tr>
      <w:tr w:rsidR="00CF7208" w:rsidTr="00CF7208">
        <w:tc>
          <w:tcPr>
            <w:tcW w:w="5868" w:type="dxa"/>
            <w:tcBorders>
              <w:top w:val="nil"/>
              <w:left w:val="single" w:sz="4" w:space="0" w:color="auto"/>
              <w:bottom w:val="nil"/>
              <w:right w:val="nil"/>
            </w:tcBorders>
            <w:hideMark/>
          </w:tcPr>
          <w:p w:rsidR="00CF7208" w:rsidRDefault="00CF7208" w:rsidP="00CF7208">
            <w:r>
              <w:t>____    Direct Instruction/lecture</w:t>
            </w:r>
          </w:p>
        </w:tc>
        <w:tc>
          <w:tcPr>
            <w:tcW w:w="5868" w:type="dxa"/>
            <w:tcBorders>
              <w:top w:val="nil"/>
              <w:left w:val="nil"/>
              <w:bottom w:val="nil"/>
              <w:right w:val="single" w:sz="4" w:space="0" w:color="auto"/>
            </w:tcBorders>
            <w:hideMark/>
          </w:tcPr>
          <w:p w:rsidR="00CF7208" w:rsidRDefault="00CF7208" w:rsidP="00CF7208">
            <w:r>
              <w:t>__</w:t>
            </w:r>
            <w:r w:rsidR="00F376D3">
              <w:t>X</w:t>
            </w:r>
            <w:r>
              <w:t>__    Summarizing &amp; Note taking</w:t>
            </w:r>
          </w:p>
        </w:tc>
      </w:tr>
      <w:tr w:rsidR="00CF7208" w:rsidTr="00CF7208">
        <w:tc>
          <w:tcPr>
            <w:tcW w:w="5868" w:type="dxa"/>
            <w:tcBorders>
              <w:top w:val="nil"/>
              <w:left w:val="single" w:sz="4" w:space="0" w:color="auto"/>
              <w:bottom w:val="nil"/>
              <w:right w:val="nil"/>
            </w:tcBorders>
            <w:hideMark/>
          </w:tcPr>
          <w:p w:rsidR="00CF7208" w:rsidRDefault="00CF7208" w:rsidP="00CF7208">
            <w:r>
              <w:t>__X__    Guided Practice</w:t>
            </w:r>
          </w:p>
        </w:tc>
        <w:tc>
          <w:tcPr>
            <w:tcW w:w="5868" w:type="dxa"/>
            <w:tcBorders>
              <w:top w:val="nil"/>
              <w:left w:val="nil"/>
              <w:bottom w:val="nil"/>
              <w:right w:val="single" w:sz="4" w:space="0" w:color="auto"/>
            </w:tcBorders>
            <w:hideMark/>
          </w:tcPr>
          <w:p w:rsidR="00CF7208" w:rsidRDefault="00CF7208" w:rsidP="00CF7208">
            <w:r>
              <w:t>__X__    Cooperative Learning</w:t>
            </w:r>
          </w:p>
        </w:tc>
      </w:tr>
      <w:tr w:rsidR="00CF7208" w:rsidTr="00CF7208">
        <w:tc>
          <w:tcPr>
            <w:tcW w:w="5868" w:type="dxa"/>
            <w:tcBorders>
              <w:top w:val="nil"/>
              <w:left w:val="single" w:sz="4" w:space="0" w:color="auto"/>
              <w:bottom w:val="nil"/>
              <w:right w:val="nil"/>
            </w:tcBorders>
            <w:hideMark/>
          </w:tcPr>
          <w:p w:rsidR="00CF7208" w:rsidRDefault="00CF7208" w:rsidP="00CF7208">
            <w:r>
              <w:t>__</w:t>
            </w:r>
            <w:r w:rsidR="00CD03F3">
              <w:t>X</w:t>
            </w:r>
            <w:r>
              <w:t>__    Teacher Demo</w:t>
            </w:r>
          </w:p>
        </w:tc>
        <w:tc>
          <w:tcPr>
            <w:tcW w:w="5868" w:type="dxa"/>
            <w:tcBorders>
              <w:top w:val="nil"/>
              <w:left w:val="nil"/>
              <w:bottom w:val="nil"/>
              <w:right w:val="single" w:sz="4" w:space="0" w:color="auto"/>
            </w:tcBorders>
            <w:hideMark/>
          </w:tcPr>
          <w:p w:rsidR="00CF7208" w:rsidRDefault="00F376D3" w:rsidP="00CF7208">
            <w:r>
              <w:t>__</w:t>
            </w:r>
            <w:r w:rsidR="00CD03F3">
              <w:t>X</w:t>
            </w:r>
            <w:r w:rsidR="00CF7208">
              <w:t>__    Identifying Similarities &amp; Differences</w:t>
            </w:r>
          </w:p>
        </w:tc>
      </w:tr>
      <w:tr w:rsidR="00CF7208" w:rsidTr="00CF7208">
        <w:tc>
          <w:tcPr>
            <w:tcW w:w="5868" w:type="dxa"/>
            <w:tcBorders>
              <w:top w:val="nil"/>
              <w:left w:val="single" w:sz="4" w:space="0" w:color="auto"/>
              <w:bottom w:val="nil"/>
              <w:right w:val="nil"/>
            </w:tcBorders>
            <w:hideMark/>
          </w:tcPr>
          <w:p w:rsidR="00CF7208" w:rsidRDefault="00CF7208" w:rsidP="00CF7208">
            <w:r>
              <w:t>__</w:t>
            </w:r>
            <w:r w:rsidR="00CD03F3">
              <w:t>X</w:t>
            </w:r>
            <w:r>
              <w:t>__    Group Discussion</w:t>
            </w:r>
          </w:p>
        </w:tc>
        <w:tc>
          <w:tcPr>
            <w:tcW w:w="5868" w:type="dxa"/>
            <w:tcBorders>
              <w:top w:val="nil"/>
              <w:left w:val="nil"/>
              <w:bottom w:val="nil"/>
              <w:right w:val="single" w:sz="4" w:space="0" w:color="auto"/>
            </w:tcBorders>
            <w:hideMark/>
          </w:tcPr>
          <w:p w:rsidR="00CF7208" w:rsidRDefault="00CF7208" w:rsidP="00CF7208">
            <w:r>
              <w:t>__</w:t>
            </w:r>
            <w:r w:rsidR="00CD03F3">
              <w:t>X</w:t>
            </w:r>
            <w:r>
              <w:t>__    Nonlinguistic Representations</w:t>
            </w:r>
          </w:p>
        </w:tc>
      </w:tr>
      <w:tr w:rsidR="00CF7208" w:rsidTr="00CF7208">
        <w:tc>
          <w:tcPr>
            <w:tcW w:w="5868" w:type="dxa"/>
            <w:tcBorders>
              <w:top w:val="nil"/>
              <w:left w:val="single" w:sz="4" w:space="0" w:color="auto"/>
              <w:bottom w:val="nil"/>
              <w:right w:val="nil"/>
            </w:tcBorders>
            <w:hideMark/>
          </w:tcPr>
          <w:p w:rsidR="00CF7208" w:rsidRDefault="00CF7208" w:rsidP="00CF7208">
            <w:r>
              <w:t>____    Graphic Organizer</w:t>
            </w:r>
          </w:p>
        </w:tc>
        <w:tc>
          <w:tcPr>
            <w:tcW w:w="5868" w:type="dxa"/>
            <w:tcBorders>
              <w:top w:val="nil"/>
              <w:left w:val="nil"/>
              <w:bottom w:val="nil"/>
              <w:right w:val="single" w:sz="4" w:space="0" w:color="auto"/>
            </w:tcBorders>
            <w:hideMark/>
          </w:tcPr>
          <w:p w:rsidR="00CF7208" w:rsidRDefault="00CF7208" w:rsidP="00CF7208">
            <w:r>
              <w:t>____    Setting Objectives</w:t>
            </w:r>
          </w:p>
        </w:tc>
      </w:tr>
      <w:tr w:rsidR="00CF7208" w:rsidTr="00CF7208">
        <w:tc>
          <w:tcPr>
            <w:tcW w:w="5868" w:type="dxa"/>
            <w:tcBorders>
              <w:top w:val="nil"/>
              <w:left w:val="single" w:sz="4" w:space="0" w:color="auto"/>
              <w:bottom w:val="nil"/>
              <w:right w:val="nil"/>
            </w:tcBorders>
            <w:hideMark/>
          </w:tcPr>
          <w:p w:rsidR="00CF7208" w:rsidRDefault="00D24C6B" w:rsidP="00CF7208">
            <w:r>
              <w:t>__</w:t>
            </w:r>
            <w:r w:rsidR="00CF7208">
              <w:t>__    Technology Integration</w:t>
            </w:r>
          </w:p>
        </w:tc>
        <w:tc>
          <w:tcPr>
            <w:tcW w:w="5868" w:type="dxa"/>
            <w:tcBorders>
              <w:top w:val="nil"/>
              <w:left w:val="nil"/>
              <w:bottom w:val="nil"/>
              <w:right w:val="single" w:sz="4" w:space="0" w:color="auto"/>
            </w:tcBorders>
            <w:hideMark/>
          </w:tcPr>
          <w:p w:rsidR="00CF7208" w:rsidRDefault="00CF7208" w:rsidP="00CF7208">
            <w:r>
              <w:t>____    Generating &amp; Testing Hypotheses</w:t>
            </w:r>
          </w:p>
        </w:tc>
      </w:tr>
      <w:tr w:rsidR="00CF7208" w:rsidTr="00CF7208">
        <w:tc>
          <w:tcPr>
            <w:tcW w:w="5868" w:type="dxa"/>
            <w:tcBorders>
              <w:top w:val="nil"/>
              <w:left w:val="single" w:sz="4" w:space="0" w:color="auto"/>
              <w:bottom w:val="single" w:sz="4" w:space="0" w:color="auto"/>
              <w:right w:val="nil"/>
            </w:tcBorders>
            <w:hideMark/>
          </w:tcPr>
          <w:p w:rsidR="00CF7208" w:rsidRDefault="00CD03F3" w:rsidP="00CF7208">
            <w:r>
              <w:t>__</w:t>
            </w:r>
            <w:r w:rsidR="00CF7208">
              <w:t>__    Independent Practice</w:t>
            </w:r>
          </w:p>
        </w:tc>
        <w:tc>
          <w:tcPr>
            <w:tcW w:w="5868" w:type="dxa"/>
            <w:tcBorders>
              <w:top w:val="nil"/>
              <w:left w:val="nil"/>
              <w:bottom w:val="single" w:sz="4" w:space="0" w:color="auto"/>
              <w:right w:val="single" w:sz="4" w:space="0" w:color="auto"/>
            </w:tcBorders>
            <w:hideMark/>
          </w:tcPr>
          <w:p w:rsidR="00CF7208" w:rsidRDefault="00CF7208" w:rsidP="00CF7208">
            <w:pPr>
              <w:rPr>
                <w:sz w:val="16"/>
                <w:szCs w:val="16"/>
              </w:rPr>
            </w:pPr>
            <w:r>
              <w:t>____    Other</w:t>
            </w:r>
            <w:r>
              <w:rPr>
                <w:sz w:val="16"/>
                <w:szCs w:val="16"/>
              </w:rPr>
              <w:t>(explain)</w:t>
            </w:r>
          </w:p>
        </w:tc>
      </w:tr>
      <w:tr w:rsidR="00CF7208" w:rsidTr="00CF7208">
        <w:tc>
          <w:tcPr>
            <w:tcW w:w="5868" w:type="dxa"/>
            <w:tcBorders>
              <w:top w:val="single" w:sz="4" w:space="0" w:color="auto"/>
              <w:left w:val="nil"/>
              <w:bottom w:val="single" w:sz="4" w:space="0" w:color="auto"/>
              <w:right w:val="nil"/>
            </w:tcBorders>
          </w:tcPr>
          <w:p w:rsidR="00CF7208" w:rsidRDefault="00CF7208" w:rsidP="00CF7208"/>
        </w:tc>
        <w:tc>
          <w:tcPr>
            <w:tcW w:w="5868" w:type="dxa"/>
            <w:tcBorders>
              <w:top w:val="single" w:sz="4" w:space="0" w:color="auto"/>
              <w:left w:val="nil"/>
              <w:bottom w:val="single" w:sz="4" w:space="0" w:color="auto"/>
              <w:right w:val="nil"/>
            </w:tcBorders>
          </w:tcPr>
          <w:p w:rsidR="00CF7208" w:rsidRDefault="00CF7208" w:rsidP="00CF7208"/>
        </w:tc>
      </w:tr>
      <w:tr w:rsidR="00CF7208" w:rsidTr="00CF7208">
        <w:tc>
          <w:tcPr>
            <w:tcW w:w="5868" w:type="dxa"/>
            <w:tcBorders>
              <w:top w:val="single" w:sz="4" w:space="0" w:color="auto"/>
              <w:left w:val="single" w:sz="4" w:space="0" w:color="auto"/>
              <w:bottom w:val="single" w:sz="4" w:space="0" w:color="auto"/>
              <w:right w:val="single" w:sz="4" w:space="0" w:color="auto"/>
            </w:tcBorders>
          </w:tcPr>
          <w:p w:rsidR="00CF7208" w:rsidRDefault="00D24C6B" w:rsidP="00CF7208">
            <w:pPr>
              <w:rPr>
                <w:b/>
              </w:rPr>
            </w:pPr>
            <w:r>
              <w:rPr>
                <w:b/>
              </w:rPr>
              <w:t xml:space="preserve">Assessment: </w:t>
            </w:r>
            <w:r w:rsidR="00CD03F3">
              <w:rPr>
                <w:b/>
              </w:rPr>
              <w:t xml:space="preserve">Students will receive a participation grade for their successful completion of the activities in class. </w:t>
            </w:r>
          </w:p>
          <w:p w:rsidR="00CF7208" w:rsidRDefault="00CF7208" w:rsidP="00CF7208">
            <w:pPr>
              <w:rPr>
                <w:b/>
              </w:rPr>
            </w:pPr>
          </w:p>
        </w:tc>
        <w:tc>
          <w:tcPr>
            <w:tcW w:w="5868" w:type="dxa"/>
            <w:tcBorders>
              <w:top w:val="single" w:sz="4" w:space="0" w:color="auto"/>
              <w:left w:val="single" w:sz="4" w:space="0" w:color="auto"/>
              <w:bottom w:val="single" w:sz="4" w:space="0" w:color="auto"/>
              <w:right w:val="single" w:sz="4" w:space="0" w:color="auto"/>
            </w:tcBorders>
            <w:hideMark/>
          </w:tcPr>
          <w:p w:rsidR="00CF7208" w:rsidRDefault="00F376D3" w:rsidP="00CF7208">
            <w:pPr>
              <w:rPr>
                <w:b/>
                <w:szCs w:val="22"/>
              </w:rPr>
            </w:pPr>
            <w:r>
              <w:rPr>
                <w:b/>
                <w:szCs w:val="22"/>
              </w:rPr>
              <w:t xml:space="preserve">Notes: </w:t>
            </w:r>
          </w:p>
        </w:tc>
      </w:tr>
    </w:tbl>
    <w:p w:rsidR="00E215C8" w:rsidRDefault="00E215C8">
      <w:bookmarkStart w:id="0" w:name="_GoBack"/>
      <w:bookmarkEnd w:id="0"/>
    </w:p>
    <w:sectPr w:rsidR="00E2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E4BAD"/>
    <w:multiLevelType w:val="hybridMultilevel"/>
    <w:tmpl w:val="9D322F34"/>
    <w:lvl w:ilvl="0" w:tplc="58EE32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2548E"/>
    <w:multiLevelType w:val="hybridMultilevel"/>
    <w:tmpl w:val="DED63C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08"/>
    <w:rsid w:val="00046CB8"/>
    <w:rsid w:val="00096CA2"/>
    <w:rsid w:val="001A771C"/>
    <w:rsid w:val="002E1F76"/>
    <w:rsid w:val="00350D50"/>
    <w:rsid w:val="006F695E"/>
    <w:rsid w:val="008A4B76"/>
    <w:rsid w:val="00A003A3"/>
    <w:rsid w:val="00CD03F3"/>
    <w:rsid w:val="00CF7208"/>
    <w:rsid w:val="00D24C6B"/>
    <w:rsid w:val="00D735E1"/>
    <w:rsid w:val="00E215C8"/>
    <w:rsid w:val="00E426D3"/>
    <w:rsid w:val="00F3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FE20"/>
  <w15:chartTrackingRefBased/>
  <w15:docId w15:val="{C50F4A33-9693-42CA-9FCC-7E8EB4F2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08"/>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Salciccioli, Anthony</dc:creator>
  <cp:keywords/>
  <dc:description/>
  <cp:lastModifiedBy>Anthony Salciccioli</cp:lastModifiedBy>
  <cp:revision>2</cp:revision>
  <dcterms:created xsi:type="dcterms:W3CDTF">2018-10-30T18:07:00Z</dcterms:created>
  <dcterms:modified xsi:type="dcterms:W3CDTF">2018-10-30T18:07:00Z</dcterms:modified>
</cp:coreProperties>
</file>