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16"/>
        <w:tblW w:w="11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965"/>
        <w:gridCol w:w="5965"/>
      </w:tblGrid>
      <w:tr w:rsidR="001734A3" w:rsidRPr="00441613" w14:paraId="730192BE" w14:textId="77777777" w:rsidTr="006A7F74">
        <w:trPr>
          <w:trHeight w:val="600"/>
        </w:trPr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</w:tcPr>
          <w:p w14:paraId="4FACAB2C" w14:textId="77777777" w:rsidR="001734A3" w:rsidRPr="00441613" w:rsidRDefault="006D0984" w:rsidP="006A7F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Class/Subject: Philosophy </w:t>
            </w:r>
          </w:p>
        </w:tc>
        <w:tc>
          <w:tcPr>
            <w:tcW w:w="5965" w:type="dxa"/>
            <w:tcBorders>
              <w:bottom w:val="single" w:sz="4" w:space="0" w:color="auto"/>
            </w:tcBorders>
            <w:shd w:val="clear" w:color="auto" w:fill="auto"/>
          </w:tcPr>
          <w:p w14:paraId="2E2F98B1" w14:textId="1B199359" w:rsidR="00284A15" w:rsidRPr="00284A15" w:rsidRDefault="005556BF" w:rsidP="00284A1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Lesson 39</w:t>
            </w:r>
            <w:r w:rsidR="0039031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AE110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“Occam’s Razor</w:t>
            </w:r>
            <w:r w:rsidR="00B3231B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” </w:t>
            </w:r>
          </w:p>
        </w:tc>
      </w:tr>
      <w:tr w:rsidR="001734A3" w:rsidRPr="00441613" w14:paraId="7C4C8571" w14:textId="77777777" w:rsidTr="006A7F74">
        <w:trPr>
          <w:trHeight w:val="190"/>
        </w:trPr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7810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CD2A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734A3" w:rsidRPr="00441613" w14:paraId="63F71C27" w14:textId="77777777" w:rsidTr="006A7F74">
        <w:trPr>
          <w:trHeight w:val="1010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8414F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Objective(s)</w:t>
            </w:r>
            <w:r w:rsidR="00B3231B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37DE247A" w14:textId="77777777" w:rsidR="00B3231B" w:rsidRPr="00441613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602A3FAC" w14:textId="77777777" w:rsidR="001734A3" w:rsidRPr="00441613" w:rsidRDefault="00AE110C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SWBAT evaluate the logical validity of Occam’s Razor and be able to apply the principle to real world situations. </w:t>
            </w:r>
          </w:p>
          <w:p w14:paraId="4FD9A424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AE02D" w14:textId="77777777" w:rsidR="00B3231B" w:rsidRPr="006A7F74" w:rsidRDefault="004D7B86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A7F74">
              <w:t xml:space="preserve"> </w:t>
            </w:r>
            <w:r w:rsidR="006A7F74" w:rsidRPr="006A7F74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Unit- “LOGIC”</w:t>
            </w:r>
          </w:p>
        </w:tc>
      </w:tr>
      <w:tr w:rsidR="001734A3" w:rsidRPr="00441613" w14:paraId="28D25FC2" w14:textId="77777777" w:rsidTr="006A7F74">
        <w:trPr>
          <w:trHeight w:val="190"/>
        </w:trPr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FDD1C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245F4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734A3" w:rsidRPr="00441613" w14:paraId="763F9D70" w14:textId="77777777" w:rsidTr="006A7F74">
        <w:trPr>
          <w:trHeight w:val="1686"/>
        </w:trPr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05F35" w14:textId="77777777" w:rsidR="004D7B86" w:rsidRDefault="006D0984" w:rsidP="006363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Philosophical Quote</w:t>
            </w:r>
            <w:r w:rsidR="0039031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</w:t>
            </w:r>
            <w:r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of the Day</w:t>
            </w:r>
            <w:r w:rsidR="001734A3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6E4143E6" w14:textId="77777777" w:rsidR="004D7B86" w:rsidRDefault="004D7B86" w:rsidP="006363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  <w:p w14:paraId="444254BD" w14:textId="152BB15C" w:rsidR="00636372" w:rsidRDefault="004D7B86" w:rsidP="00636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637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“</w:t>
            </w:r>
            <w:r w:rsidRPr="004D7B8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Frustra fit per plura, quod fieri potest per pauciora.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”</w:t>
            </w:r>
            <w:r w:rsidRPr="004D7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 w:rsidRPr="004D7B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 is vain to do with more what can be done with less.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14:paraId="3FB9A63C" w14:textId="77777777" w:rsidR="004D7B86" w:rsidRDefault="004D7B86" w:rsidP="006363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02B21E4" w14:textId="77777777" w:rsidR="001734A3" w:rsidRPr="00441613" w:rsidRDefault="004D7B86" w:rsidP="006A7F7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-William of Occam </w:t>
            </w:r>
          </w:p>
        </w:tc>
        <w:tc>
          <w:tcPr>
            <w:tcW w:w="5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F65B" w14:textId="77777777" w:rsidR="001734A3" w:rsidRDefault="001B14AE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Philosophical Video</w:t>
            </w:r>
            <w:r w:rsidR="006D0984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of the Day</w:t>
            </w:r>
            <w:r w:rsidR="001734A3" w:rsidRPr="004416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5C5AC252" w14:textId="77777777" w:rsidR="00105028" w:rsidRDefault="00105028" w:rsidP="00AA79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0DDA5A6" w14:textId="77777777" w:rsidR="0021743E" w:rsidRDefault="00EB1884" w:rsidP="00AA79B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  <w:t>“What I Am” by Edie Brickell and New Bohemians</w:t>
            </w:r>
          </w:p>
          <w:p w14:paraId="18C26F96" w14:textId="11F8E9BD" w:rsidR="00EB1884" w:rsidRPr="0021743E" w:rsidRDefault="00284A15" w:rsidP="006A7F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</w:rPr>
            </w:pPr>
            <w:hyperlink r:id="rId7" w:history="1">
              <w:r w:rsidRPr="001F52E0">
                <w:rPr>
                  <w:rStyle w:val="Hyperlink"/>
                  <w:rFonts w:ascii="Arial" w:eastAsia="Times New Roman" w:hAnsi="Arial" w:cs="Arial"/>
                  <w:b/>
                  <w:i/>
                  <w:sz w:val="18"/>
                  <w:szCs w:val="18"/>
                </w:rPr>
                <w:t>https://www.youtube.com/watch?v=tDl3bdE3YQA</w:t>
              </w:r>
            </w:hyperlink>
          </w:p>
        </w:tc>
      </w:tr>
      <w:tr w:rsidR="001734A3" w:rsidRPr="00441613" w14:paraId="13E14D3E" w14:textId="77777777" w:rsidTr="006A7F74">
        <w:trPr>
          <w:trHeight w:val="204"/>
        </w:trPr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7CAA0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51632" w14:textId="77777777" w:rsidR="001734A3" w:rsidRPr="00441613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198837AB" w14:textId="77777777" w:rsidTr="006A7F74">
        <w:trPr>
          <w:trHeight w:val="190"/>
        </w:trPr>
        <w:tc>
          <w:tcPr>
            <w:tcW w:w="11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CF0A1" w14:textId="77777777" w:rsidR="001734A3" w:rsidRPr="00441613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734A3" w:rsidRPr="00441613" w14:paraId="6FB35A1D" w14:textId="77777777" w:rsidTr="006A7F74">
        <w:trPr>
          <w:trHeight w:val="2858"/>
        </w:trPr>
        <w:tc>
          <w:tcPr>
            <w:tcW w:w="5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CC532C" w14:textId="77777777" w:rsidR="005F7299" w:rsidRPr="00441613" w:rsidRDefault="006D0984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Key Points of the Day: </w:t>
            </w:r>
          </w:p>
          <w:p w14:paraId="4E9F6D5D" w14:textId="77777777" w:rsidR="005F7299" w:rsidRDefault="005F7299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5337355" w14:textId="28584411" w:rsidR="005F7299" w:rsidRPr="00441613" w:rsidRDefault="00C7465F" w:rsidP="00C7465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746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Occam’s razor, also spelled Ockham’s razor, also called law of economy or law of </w:t>
            </w:r>
            <w:r w:rsidR="00284A15" w:rsidRPr="00C7465F">
              <w:rPr>
                <w:rFonts w:ascii="Arial" w:eastAsia="Times New Roman" w:hAnsi="Arial" w:cs="Arial"/>
                <w:b/>
                <w:sz w:val="18"/>
                <w:szCs w:val="18"/>
              </w:rPr>
              <w:t>parsimony, principle</w:t>
            </w:r>
            <w:r w:rsidRPr="00C746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stated by the Scholastic philosopher William of Ockham (1285–1347/49) that pluralitas non est ponenda sine necessitate, “plurality should not be posited without necessity.” The principle gives precedence to simplicity: of two competing theories, the simpler explanation of an entity is to be preferred. The principle is also expressed as “Entities are not to be multiplied beyond necessity.”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C68F5" w14:textId="77777777" w:rsidR="007B4A1C" w:rsidRPr="0005657B" w:rsidRDefault="007B4A1C" w:rsidP="0005657B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1734A3" w:rsidRPr="00441613" w14:paraId="3432EB23" w14:textId="77777777" w:rsidTr="006A7F74">
        <w:trPr>
          <w:trHeight w:val="204"/>
        </w:trPr>
        <w:tc>
          <w:tcPr>
            <w:tcW w:w="5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9505F1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1CEAF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47BFCF55" w14:textId="77777777" w:rsidTr="006A7F74">
        <w:trPr>
          <w:trHeight w:val="204"/>
        </w:trPr>
        <w:tc>
          <w:tcPr>
            <w:tcW w:w="5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37635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A9697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6D613726" w14:textId="77777777" w:rsidTr="006A7F74">
        <w:trPr>
          <w:trHeight w:val="190"/>
        </w:trPr>
        <w:tc>
          <w:tcPr>
            <w:tcW w:w="5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1DDBA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3E6FD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4F617C3D" w14:textId="77777777" w:rsidTr="006A7F74">
        <w:trPr>
          <w:trHeight w:val="49"/>
        </w:trPr>
        <w:tc>
          <w:tcPr>
            <w:tcW w:w="5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8D9255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3A583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3E5A6488" w14:textId="77777777" w:rsidTr="006A7F74">
        <w:trPr>
          <w:trHeight w:val="204"/>
        </w:trPr>
        <w:tc>
          <w:tcPr>
            <w:tcW w:w="5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E80E58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7B2C2D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03B05F95" w14:textId="77777777" w:rsidTr="006A7F74">
        <w:trPr>
          <w:trHeight w:val="51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CF995D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41A" w14:textId="77777777" w:rsidR="001734A3" w:rsidRPr="0044161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0539C882" w14:textId="77777777" w:rsidTr="006A7F74">
        <w:trPr>
          <w:trHeight w:val="363"/>
        </w:trPr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F8B35" w14:textId="77777777" w:rsidR="0005657B" w:rsidRPr="00441613" w:rsidRDefault="0005657B" w:rsidP="001734A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2829E" w14:textId="77777777" w:rsidR="007B4A1C" w:rsidRPr="006A7F74" w:rsidRDefault="007B4A1C" w:rsidP="006A7F74">
            <w:pPr>
              <w:tabs>
                <w:tab w:val="left" w:pos="1965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734A3" w:rsidRPr="00441613" w14:paraId="48758817" w14:textId="77777777" w:rsidTr="006A7F74">
        <w:trPr>
          <w:trHeight w:val="203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E64A" w14:textId="77777777" w:rsidR="006A7F74" w:rsidRPr="006A7F74" w:rsidRDefault="006A7F74" w:rsidP="006A7F74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r w:rsidRPr="006A7F74">
              <w:rPr>
                <w:rFonts w:ascii="Arial" w:eastAsia="Times New Roman" w:hAnsi="Arial" w:cs="Arial"/>
                <w:color w:val="0070C0"/>
                <w:sz w:val="32"/>
                <w:szCs w:val="32"/>
              </w:rPr>
              <w:t xml:space="preserve">Journal Entry: </w:t>
            </w:r>
          </w:p>
          <w:p w14:paraId="3A086E2A" w14:textId="77777777" w:rsidR="006A7F74" w:rsidRPr="006A7F74" w:rsidRDefault="006A7F74" w:rsidP="006A7F7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32"/>
                <w:szCs w:val="32"/>
              </w:rPr>
            </w:pPr>
          </w:p>
          <w:p w14:paraId="70770D75" w14:textId="77777777" w:rsidR="000F3080" w:rsidRPr="0021743E" w:rsidRDefault="006A7F74" w:rsidP="006A7F7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6A7F74">
              <w:rPr>
                <w:rFonts w:ascii="Arial" w:eastAsia="Times New Roman" w:hAnsi="Arial" w:cs="Arial"/>
                <w:color w:val="0070C0"/>
                <w:sz w:val="32"/>
                <w:szCs w:val="32"/>
              </w:rPr>
              <w:t>Do you feel Occam’s Razor is a logical or illogical concept? What real-life examples is Occam’s Razor applicable, when is it not?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374B" w14:textId="77777777" w:rsidR="001734A3" w:rsidRPr="00441613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41613">
              <w:rPr>
                <w:rFonts w:ascii="Arial" w:eastAsia="Times New Roman" w:hAnsi="Arial" w:cs="Arial"/>
                <w:b/>
                <w:sz w:val="18"/>
                <w:szCs w:val="18"/>
              </w:rPr>
              <w:t>Supplemental Reading</w:t>
            </w:r>
            <w:r w:rsidR="006A7F7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philosopher</w:t>
            </w:r>
            <w:r w:rsidRPr="0044161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: </w:t>
            </w:r>
          </w:p>
          <w:p w14:paraId="60F20066" w14:textId="77777777" w:rsidR="006A7F74" w:rsidRDefault="006A7F74" w:rsidP="00AE561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3F06462F" w14:textId="77777777" w:rsidR="00AE561C" w:rsidRPr="00AE561C" w:rsidRDefault="00AE561C" w:rsidP="00AE561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  <w:t>“</w:t>
            </w:r>
            <w:r w:rsidRPr="00AE561C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  <w:t>Ockham Explained</w:t>
            </w:r>
            <w:r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  <w:t xml:space="preserve">” </w:t>
            </w:r>
            <w:r w:rsidRPr="00AE561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By: </w:t>
            </w:r>
            <w:hyperlink r:id="rId8" w:history="1">
              <w:r w:rsidRPr="00AE561C">
                <w:rPr>
                  <w:rStyle w:val="Hyperlink"/>
                  <w:rFonts w:ascii="Arial" w:eastAsia="Times New Roman" w:hAnsi="Arial" w:cs="Arial"/>
                  <w:b/>
                  <w:i/>
                  <w:color w:val="auto"/>
                  <w:sz w:val="18"/>
                  <w:szCs w:val="18"/>
                  <w:u w:val="none"/>
                </w:rPr>
                <w:t>Rondo Keele</w:t>
              </w:r>
            </w:hyperlink>
          </w:p>
          <w:p w14:paraId="6EBF5FF3" w14:textId="77777777" w:rsidR="00016217" w:rsidRDefault="006A7F74" w:rsidP="001734A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 wp14:anchorId="0019AFC2" wp14:editId="747859A0">
                  <wp:extent cx="819150" cy="65794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7" cy="673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0D62D" w14:textId="77777777" w:rsidR="006A7F74" w:rsidRDefault="006A7F74" w:rsidP="001734A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6CB56193" w14:textId="77777777" w:rsidR="006A7F74" w:rsidRPr="006A7F74" w:rsidRDefault="006A7F74" w:rsidP="006A7F7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  <w:p w14:paraId="056D2D75" w14:textId="77777777" w:rsidR="006A7F74" w:rsidRPr="006A7F74" w:rsidRDefault="006A7F74" w:rsidP="006A7F74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6A7F74">
              <w:rPr>
                <w:rFonts w:ascii="Arial" w:eastAsia="Times New Roman" w:hAnsi="Arial" w:cs="Arial"/>
                <w:i/>
                <w:sz w:val="16"/>
                <w:szCs w:val="16"/>
              </w:rPr>
              <w:t>William of Ockham was an English Franciscan friar and scholastic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philosopher and theologian. </w:t>
            </w:r>
            <w:r w:rsidRPr="006A7F74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He is commonly known for Occam's razor, the methodological principle that bears his name, and also produced significant works on logic, physics, and theology. </w:t>
            </w:r>
          </w:p>
        </w:tc>
      </w:tr>
    </w:tbl>
    <w:p w14:paraId="5FF2C919" w14:textId="77777777" w:rsidR="008C432D" w:rsidRPr="005F7299" w:rsidRDefault="008C432D">
      <w:pPr>
        <w:rPr>
          <w:sz w:val="20"/>
          <w:szCs w:val="20"/>
        </w:rPr>
      </w:pPr>
    </w:p>
    <w:sectPr w:rsidR="008C432D" w:rsidRPr="005F7299" w:rsidSect="006A7F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65F3" w14:textId="77777777" w:rsidR="00686D0B" w:rsidRDefault="00686D0B" w:rsidP="006A7F74">
      <w:pPr>
        <w:spacing w:after="0" w:line="240" w:lineRule="auto"/>
      </w:pPr>
      <w:r>
        <w:separator/>
      </w:r>
    </w:p>
  </w:endnote>
  <w:endnote w:type="continuationSeparator" w:id="0">
    <w:p w14:paraId="3E9393C9" w14:textId="77777777" w:rsidR="00686D0B" w:rsidRDefault="00686D0B" w:rsidP="006A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14E6" w14:textId="77777777" w:rsidR="00686D0B" w:rsidRDefault="00686D0B" w:rsidP="006A7F74">
      <w:pPr>
        <w:spacing w:after="0" w:line="240" w:lineRule="auto"/>
      </w:pPr>
      <w:r>
        <w:separator/>
      </w:r>
    </w:p>
  </w:footnote>
  <w:footnote w:type="continuationSeparator" w:id="0">
    <w:p w14:paraId="1214D819" w14:textId="77777777" w:rsidR="00686D0B" w:rsidRDefault="00686D0B" w:rsidP="006A7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96D"/>
    <w:multiLevelType w:val="hybridMultilevel"/>
    <w:tmpl w:val="C284CC5C"/>
    <w:lvl w:ilvl="0" w:tplc="98D4AA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136"/>
    <w:multiLevelType w:val="hybridMultilevel"/>
    <w:tmpl w:val="9E442FC2"/>
    <w:lvl w:ilvl="0" w:tplc="EDFCA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4BBF"/>
    <w:multiLevelType w:val="hybridMultilevel"/>
    <w:tmpl w:val="8B9A39E4"/>
    <w:lvl w:ilvl="0" w:tplc="C936CC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4496"/>
    <w:multiLevelType w:val="multilevel"/>
    <w:tmpl w:val="FB5E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16217"/>
    <w:rsid w:val="00043C93"/>
    <w:rsid w:val="0005657B"/>
    <w:rsid w:val="000F3080"/>
    <w:rsid w:val="00105028"/>
    <w:rsid w:val="001734A3"/>
    <w:rsid w:val="001818E2"/>
    <w:rsid w:val="001B14AE"/>
    <w:rsid w:val="0021743E"/>
    <w:rsid w:val="00242C9C"/>
    <w:rsid w:val="00284A15"/>
    <w:rsid w:val="00390311"/>
    <w:rsid w:val="003C77BA"/>
    <w:rsid w:val="00441613"/>
    <w:rsid w:val="004D7B86"/>
    <w:rsid w:val="00521128"/>
    <w:rsid w:val="005556BF"/>
    <w:rsid w:val="005F7299"/>
    <w:rsid w:val="00636372"/>
    <w:rsid w:val="00686D0B"/>
    <w:rsid w:val="006A7F74"/>
    <w:rsid w:val="006D0984"/>
    <w:rsid w:val="00706236"/>
    <w:rsid w:val="00774002"/>
    <w:rsid w:val="007B4A1C"/>
    <w:rsid w:val="00816E3C"/>
    <w:rsid w:val="00890F8E"/>
    <w:rsid w:val="008C432D"/>
    <w:rsid w:val="009B67D7"/>
    <w:rsid w:val="009D3504"/>
    <w:rsid w:val="00A53E3D"/>
    <w:rsid w:val="00AA79B8"/>
    <w:rsid w:val="00AE110C"/>
    <w:rsid w:val="00AE561C"/>
    <w:rsid w:val="00B3231B"/>
    <w:rsid w:val="00BF1256"/>
    <w:rsid w:val="00C7465F"/>
    <w:rsid w:val="00CB6F39"/>
    <w:rsid w:val="00EB1884"/>
    <w:rsid w:val="00F26597"/>
    <w:rsid w:val="00F54321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D9F7"/>
  <w15:docId w15:val="{FFC4F5A1-16CA-4E50-90DC-7B6B724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74"/>
  </w:style>
  <w:style w:type="paragraph" w:styleId="Footer">
    <w:name w:val="footer"/>
    <w:basedOn w:val="Normal"/>
    <w:link w:val="FooterChar"/>
    <w:uiPriority w:val="99"/>
    <w:unhideWhenUsed/>
    <w:rsid w:val="006A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74"/>
  </w:style>
  <w:style w:type="character" w:styleId="UnresolvedMention">
    <w:name w:val="Unresolved Mention"/>
    <w:basedOn w:val="DefaultParagraphFont"/>
    <w:uiPriority w:val="99"/>
    <w:semiHidden/>
    <w:unhideWhenUsed/>
    <w:rsid w:val="0028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6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anbook.com/Christian/Books/search/1543885601?author=Rondo%20Keele&amp;detailed_search=1&amp;action=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Dl3bdE3Y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2019-07-10T14:37:00Z</dcterms:created>
  <dcterms:modified xsi:type="dcterms:W3CDTF">2019-07-10T14:37:00Z</dcterms:modified>
</cp:coreProperties>
</file>